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rPr>
      </w:pPr>
      <w:r>
        <w:rPr>
          <w:b/>
        </w:rPr>
        <w:t>3GPP TSG RAN WG1 #11</w:t>
      </w:r>
      <w:r>
        <w:rPr>
          <w:rFonts w:eastAsia="宋体"/>
          <w:b/>
        </w:rPr>
        <w:t>4</w:t>
      </w:r>
      <w:r>
        <w:rPr>
          <w:rFonts w:hint="eastAsia" w:eastAsia="宋体"/>
          <w:b/>
        </w:rPr>
        <w:t>bis</w:t>
      </w:r>
      <w:r>
        <w:rPr>
          <w:b/>
        </w:rPr>
        <w:t xml:space="preserve">                                               </w:t>
      </w:r>
      <w:r>
        <w:rPr>
          <w:rFonts w:eastAsia="宋体"/>
          <w:b/>
        </w:rPr>
        <w:t xml:space="preserve">                                  </w:t>
      </w:r>
      <w:bookmarkStart w:id="16" w:name="_GoBack"/>
      <w:bookmarkEnd w:id="16"/>
      <w:r>
        <w:rPr>
          <w:b/>
        </w:rPr>
        <w:t>R1-2310421</w:t>
      </w:r>
    </w:p>
    <w:p>
      <w:pPr>
        <w:tabs>
          <w:tab w:val="center" w:pos="4536"/>
          <w:tab w:val="right" w:pos="8280"/>
          <w:tab w:val="right" w:pos="9639"/>
        </w:tabs>
        <w:snapToGrid w:val="0"/>
        <w:ind w:left="442" w:right="2" w:hanging="442"/>
        <w:jc w:val="both"/>
        <w:rPr>
          <w:rFonts w:eastAsia="宋体"/>
          <w:b/>
        </w:rPr>
      </w:pPr>
      <w:bookmarkStart w:id="0" w:name="OLE_LINK27"/>
      <w:r>
        <w:rPr>
          <w:rFonts w:eastAsia="Malgun Gothic"/>
          <w:b/>
          <w:lang w:eastAsia="en-US" w:bidi="ar"/>
        </w:rPr>
        <w:t>Xiamen, China, October 9</w:t>
      </w:r>
      <w:r>
        <w:rPr>
          <w:rFonts w:eastAsia="Malgun Gothic"/>
          <w:b/>
          <w:vertAlign w:val="superscript"/>
          <w:lang w:eastAsia="en-US" w:bidi="ar"/>
        </w:rPr>
        <w:t>th</w:t>
      </w:r>
      <w:r>
        <w:rPr>
          <w:rFonts w:eastAsia="Malgun Gothic"/>
          <w:b/>
          <w:lang w:eastAsia="en-US" w:bidi="ar"/>
        </w:rPr>
        <w:t xml:space="preserve"> – October 13</w:t>
      </w:r>
      <w:r>
        <w:rPr>
          <w:rFonts w:eastAsia="Malgun Gothic"/>
          <w:b/>
          <w:vertAlign w:val="superscript"/>
          <w:lang w:eastAsia="en-US" w:bidi="ar"/>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7.2</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 xml:space="preserve">Title:         </w:t>
      </w:r>
      <w:r>
        <w:rPr>
          <w:rFonts w:hint="eastAsia" w:eastAsia="宋体"/>
          <w:b/>
        </w:rPr>
        <w:t xml:space="preserve">        Summary for reply LS on multiple location estimate instances in single </w:t>
      </w:r>
    </w:p>
    <w:p>
      <w:pPr>
        <w:tabs>
          <w:tab w:val="center" w:pos="4536"/>
          <w:tab w:val="right" w:pos="8280"/>
          <w:tab w:val="right" w:pos="9639"/>
        </w:tabs>
        <w:snapToGrid w:val="0"/>
        <w:ind w:right="2" w:firstLine="1687" w:firstLineChars="700"/>
        <w:jc w:val="both"/>
        <w:rPr>
          <w:rFonts w:eastAsia="宋体"/>
          <w:b/>
        </w:rPr>
      </w:pPr>
      <w:r>
        <w:rPr>
          <w:rFonts w:hint="eastAsia" w:eastAsia="宋体"/>
          <w:b/>
        </w:rPr>
        <w:t>measurement</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snapToGrid w:val="0"/>
        <w:spacing w:before="180" w:beforeLines="50" w:after="180" w:afterLines="50"/>
        <w:ind w:left="431" w:hanging="431"/>
      </w:pPr>
      <w:r>
        <w:t>Introduction</w:t>
      </w:r>
    </w:p>
    <w:p>
      <w:pPr>
        <w:snapToGrid w:val="0"/>
        <w:spacing w:before="120" w:after="120"/>
        <w:jc w:val="both"/>
        <w:rPr>
          <w:rFonts w:eastAsia="宋体"/>
          <w:sz w:val="20"/>
        </w:rPr>
      </w:pPr>
      <w:r>
        <w:rPr>
          <w:rFonts w:hint="eastAsia" w:eastAsia="宋体"/>
          <w:sz w:val="20"/>
        </w:rPr>
        <w:t xml:space="preserve">In this meeting, one </w:t>
      </w:r>
      <w:r>
        <w:rPr>
          <w:rFonts w:eastAsia="Batang"/>
          <w:sz w:val="20"/>
          <w:lang w:eastAsia="en-US"/>
        </w:rPr>
        <w:t>RAN2 LS R2-2309105</w:t>
      </w:r>
      <w:r>
        <w:rPr>
          <w:rFonts w:hint="eastAsia" w:eastAsia="Batang"/>
          <w:sz w:val="20"/>
          <w:lang w:eastAsia="en-US"/>
        </w:rPr>
        <w:t xml:space="preserve"> (</w:t>
      </w:r>
      <w:r>
        <w:rPr>
          <w:rFonts w:eastAsia="Batang"/>
          <w:sz w:val="20"/>
          <w:lang w:eastAsia="en-US"/>
        </w:rPr>
        <w:t>R1-2308826</w:t>
      </w:r>
      <w:r>
        <w:rPr>
          <w:rFonts w:hint="eastAsia" w:eastAsia="Batang"/>
          <w:sz w:val="20"/>
          <w:lang w:eastAsia="en-US"/>
        </w:rPr>
        <w:t>)</w:t>
      </w:r>
      <w:r>
        <w:rPr>
          <w:rFonts w:eastAsia="Batang"/>
          <w:sz w:val="20"/>
          <w:lang w:eastAsia="en-US"/>
        </w:rPr>
        <w:t xml:space="preserve"> </w:t>
      </w:r>
      <w:r>
        <w:rPr>
          <w:rFonts w:hint="eastAsia" w:eastAsia="宋体"/>
          <w:sz w:val="20"/>
        </w:rPr>
        <w:t xml:space="preserve">is sent to RAN1 </w:t>
      </w:r>
      <w:r>
        <w:rPr>
          <w:rFonts w:eastAsia="Batang"/>
          <w:sz w:val="20"/>
          <w:lang w:eastAsia="en-US"/>
        </w:rPr>
        <w:t>on support of multiple location estimate instances in a single measurement</w:t>
      </w:r>
      <w:r>
        <w:rPr>
          <w:rFonts w:hint="eastAsia" w:eastAsia="宋体"/>
          <w:sz w:val="20"/>
        </w:rPr>
        <w:t xml:space="preserve">. A reply LS from RAN1 is needed according to the content of the RAN2 LS as shown in the following box.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120"/>
              <w:jc w:val="both"/>
              <w:rPr>
                <w:b/>
                <w:sz w:val="20"/>
                <w:szCs w:val="20"/>
              </w:rPr>
            </w:pPr>
            <w:r>
              <w:rPr>
                <w:b/>
                <w:sz w:val="20"/>
                <w:szCs w:val="20"/>
              </w:rPr>
              <w:t>1. Overall Description:</w:t>
            </w:r>
          </w:p>
          <w:p>
            <w:pPr>
              <w:spacing w:after="120"/>
              <w:jc w:val="both"/>
              <w:rPr>
                <w:sz w:val="20"/>
                <w:szCs w:val="20"/>
              </w:rPr>
            </w:pPr>
            <w:r>
              <w:rPr>
                <w:sz w:val="20"/>
                <w:szCs w:val="20"/>
              </w:rPr>
              <w:t xml:space="preserve">In current Rel-17 LPP specification, LMF can use </w:t>
            </w:r>
            <w:r>
              <w:rPr>
                <w:i/>
                <w:sz w:val="20"/>
                <w:szCs w:val="20"/>
              </w:rPr>
              <w:t>multiMeasInSameReport</w:t>
            </w:r>
            <w:r>
              <w:rPr>
                <w:sz w:val="20"/>
                <w:szCs w:val="20"/>
              </w:rPr>
              <w:t xml:space="preserve"> to request UE to provide multiple DL-PRS measurement instances or multiple location estimate instances in a single measurement report: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rPr>
                      <w:rFonts w:ascii="Times New Roman" w:hAnsi="Times New Roman"/>
                      <w:b/>
                      <w:bCs/>
                      <w:i/>
                      <w:iCs/>
                      <w:sz w:val="20"/>
                      <w:szCs w:val="20"/>
                    </w:rPr>
                  </w:pPr>
                  <w:r>
                    <w:rPr>
                      <w:rFonts w:ascii="Times New Roman" w:hAnsi="Times New Roman"/>
                      <w:b/>
                      <w:bCs/>
                      <w:i/>
                      <w:iCs/>
                      <w:sz w:val="20"/>
                      <w:szCs w:val="20"/>
                    </w:rPr>
                    <w:t>multiMeasInSameReport</w:t>
                  </w:r>
                </w:p>
                <w:p>
                  <w:pPr>
                    <w:pStyle w:val="111"/>
                    <w:keepNext w:val="0"/>
                    <w:keepLines w:val="0"/>
                    <w:widowControl w:val="0"/>
                    <w:rPr>
                      <w:rFonts w:ascii="Times New Roman" w:hAnsi="Times New Roman"/>
                      <w:b/>
                      <w:i/>
                      <w:snapToGrid w:val="0"/>
                      <w:sz w:val="20"/>
                      <w:szCs w:val="20"/>
                    </w:rPr>
                  </w:pPr>
                  <w:r>
                    <w:rPr>
                      <w:rFonts w:ascii="Times New Roman" w:hAnsi="Times New Roman"/>
                      <w:sz w:val="20"/>
                      <w:szCs w:val="20"/>
                    </w:rPr>
                    <w:t xml:space="preserve">This field, if present, indicates that the target device is requested to provide </w:t>
                  </w:r>
                  <w:bookmarkStart w:id="1" w:name="OLE_LINK8"/>
                  <w:bookmarkStart w:id="2" w:name="OLE_LINK9"/>
                  <w:r>
                    <w:rPr>
                      <w:rFonts w:ascii="Times New Roman" w:hAnsi="Times New Roman"/>
                      <w:sz w:val="20"/>
                      <w:szCs w:val="20"/>
                    </w:rPr>
                    <w:t>multiple measurement instances</w:t>
                  </w:r>
                  <w:bookmarkEnd w:id="1"/>
                  <w:r>
                    <w:rPr>
                      <w:rFonts w:ascii="Times New Roman" w:hAnsi="Times New Roman"/>
                      <w:sz w:val="20"/>
                      <w:szCs w:val="20"/>
                    </w:rPr>
                    <w:t xml:space="preserve"> in a single measurement report</w:t>
                  </w:r>
                  <w:bookmarkEnd w:id="2"/>
                  <w:r>
                    <w:rPr>
                      <w:rFonts w:ascii="Times New Roman" w:hAnsi="Times New Roman"/>
                      <w:sz w:val="20"/>
                      <w:szCs w:val="20"/>
                    </w:rPr>
                    <w:t xml:space="preserve">; i.e., include the </w:t>
                  </w:r>
                  <w:r>
                    <w:rPr>
                      <w:rFonts w:ascii="Times New Roman" w:hAnsi="Times New Roman"/>
                      <w:i/>
                      <w:iCs/>
                      <w:sz w:val="20"/>
                      <w:szCs w:val="20"/>
                    </w:rPr>
                    <w:t>nr-DL-AoD-SignalMeasurementInstances</w:t>
                  </w:r>
                  <w:r>
                    <w:rPr>
                      <w:rFonts w:ascii="Times New Roman" w:hAnsi="Times New Roman"/>
                      <w:sz w:val="20"/>
                      <w:szCs w:val="20"/>
                    </w:rPr>
                    <w:t xml:space="preserve"> (in the case of UE-assisted mode is requested) or </w:t>
                  </w:r>
                  <w:r>
                    <w:rPr>
                      <w:rFonts w:ascii="Times New Roman" w:hAnsi="Times New Roman"/>
                      <w:i/>
                      <w:iCs/>
                      <w:snapToGrid w:val="0"/>
                      <w:sz w:val="20"/>
                      <w:szCs w:val="20"/>
                    </w:rPr>
                    <w:t>nr-DL-AoD-LocationInformationInstances</w:t>
                  </w:r>
                  <w:r>
                    <w:rPr>
                      <w:rFonts w:ascii="Times New Roman" w:hAnsi="Times New Roman"/>
                      <w:snapToGrid w:val="0"/>
                      <w:sz w:val="20"/>
                      <w:szCs w:val="20"/>
                    </w:rPr>
                    <w:t xml:space="preserve"> (in the case of UE-based mode is requested) in IE </w:t>
                  </w:r>
                  <w:r>
                    <w:rPr>
                      <w:rFonts w:ascii="Times New Roman" w:hAnsi="Times New Roman"/>
                      <w:i/>
                      <w:sz w:val="20"/>
                      <w:szCs w:val="20"/>
                    </w:rPr>
                    <w:t>NR-DL-TDOA-ProvideLocationInformation.</w:t>
                  </w:r>
                </w:p>
              </w:tc>
            </w:tr>
          </w:tbl>
          <w:p>
            <w:pPr>
              <w:spacing w:after="120"/>
              <w:jc w:val="both"/>
              <w:rPr>
                <w:sz w:val="20"/>
                <w:szCs w:val="20"/>
              </w:rPr>
            </w:pPr>
          </w:p>
          <w:p>
            <w:pPr>
              <w:spacing w:after="120"/>
              <w:jc w:val="both"/>
              <w:rPr>
                <w:sz w:val="20"/>
                <w:szCs w:val="20"/>
              </w:rPr>
            </w:pPr>
            <w:r>
              <w:rPr>
                <w:sz w:val="20"/>
                <w:szCs w:val="20"/>
              </w:rPr>
              <w:t xml:space="preserve">However, according to FG 27-7 in the RAN1 Rel-17 NR features list, there has been only a UE capability </w:t>
            </w:r>
            <w:bookmarkStart w:id="3" w:name="OLE_LINK2"/>
            <w:bookmarkStart w:id="4" w:name="OLE_LINK1"/>
            <w:r>
              <w:rPr>
                <w:i/>
                <w:sz w:val="20"/>
                <w:szCs w:val="20"/>
              </w:rPr>
              <w:t>multiMeasInSameMeasReport</w:t>
            </w:r>
            <w:bookmarkEnd w:id="3"/>
            <w:bookmarkEnd w:id="4"/>
            <w:r>
              <w:rPr>
                <w:i/>
                <w:sz w:val="20"/>
                <w:szCs w:val="20"/>
              </w:rPr>
              <w:t xml:space="preserve"> </w:t>
            </w:r>
            <w:r>
              <w:rPr>
                <w:iCs/>
                <w:sz w:val="20"/>
                <w:szCs w:val="20"/>
              </w:rPr>
              <w:t>specified</w:t>
            </w:r>
            <w:r>
              <w:rPr>
                <w:i/>
                <w:sz w:val="20"/>
                <w:szCs w:val="20"/>
              </w:rPr>
              <w:t xml:space="preserve"> </w:t>
            </w:r>
            <w:r>
              <w:rPr>
                <w:sz w:val="20"/>
                <w:szCs w:val="20"/>
              </w:rPr>
              <w:t>indicating whether UE supports to provide multiple DL-PRS measurement instances in a single measurement report: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keepNext w:val="0"/>
                    <w:keepLines w:val="0"/>
                    <w:widowControl w:val="0"/>
                    <w:rPr>
                      <w:rFonts w:ascii="Times New Roman" w:hAnsi="Times New Roman"/>
                      <w:b/>
                      <w:bCs/>
                      <w:i/>
                      <w:iCs/>
                      <w:snapToGrid w:val="0"/>
                      <w:sz w:val="20"/>
                      <w:szCs w:val="20"/>
                    </w:rPr>
                  </w:pPr>
                  <w:r>
                    <w:rPr>
                      <w:rFonts w:ascii="Times New Roman" w:hAnsi="Times New Roman"/>
                      <w:b/>
                      <w:bCs/>
                      <w:i/>
                      <w:iCs/>
                      <w:snapToGrid w:val="0"/>
                      <w:sz w:val="20"/>
                      <w:szCs w:val="20"/>
                    </w:rPr>
                    <w:t>multiMeasInSameMeasReport</w:t>
                  </w:r>
                </w:p>
                <w:p>
                  <w:pPr>
                    <w:pStyle w:val="111"/>
                    <w:keepNext w:val="0"/>
                    <w:keepLines w:val="0"/>
                    <w:widowControl w:val="0"/>
                    <w:rPr>
                      <w:rFonts w:ascii="Times New Roman" w:hAnsi="Times New Roman"/>
                      <w:b/>
                      <w:bCs/>
                      <w:i/>
                      <w:iCs/>
                      <w:sz w:val="20"/>
                      <w:szCs w:val="20"/>
                    </w:rPr>
                  </w:pPr>
                  <w:r>
                    <w:rPr>
                      <w:rFonts w:ascii="Times New Roman" w:hAnsi="Times New Roman"/>
                      <w:sz w:val="20"/>
                      <w:szCs w:val="20"/>
                    </w:rPr>
                    <w:t>This field, if present, indicates that the target device supports multiple measurement instances in a single measurement report.</w:t>
                  </w:r>
                </w:p>
              </w:tc>
            </w:tr>
          </w:tbl>
          <w:p>
            <w:pPr>
              <w:spacing w:after="120"/>
              <w:jc w:val="both"/>
              <w:rPr>
                <w:sz w:val="20"/>
                <w:szCs w:val="20"/>
              </w:rPr>
            </w:pPr>
          </w:p>
          <w:p>
            <w:pPr>
              <w:spacing w:after="120"/>
              <w:jc w:val="both"/>
              <w:rPr>
                <w:sz w:val="20"/>
                <w:szCs w:val="20"/>
              </w:rPr>
            </w:pPr>
            <w:r>
              <w:rPr>
                <w:sz w:val="20"/>
                <w:szCs w:val="20"/>
              </w:rPr>
              <w:t>RAN2 discussed the discrepancy between the UE capability signaling and network request, and have following questions to RAN1:</w:t>
            </w:r>
          </w:p>
          <w:p>
            <w:pPr>
              <w:spacing w:after="120"/>
              <w:jc w:val="both"/>
              <w:rPr>
                <w:sz w:val="20"/>
                <w:szCs w:val="20"/>
              </w:rPr>
            </w:pPr>
            <w:bookmarkStart w:id="5" w:name="OLE_LINK3"/>
            <w:bookmarkStart w:id="6" w:name="OLE_LINK4"/>
          </w:p>
          <w:p>
            <w:pPr>
              <w:pStyle w:val="139"/>
              <w:spacing w:after="120"/>
              <w:ind w:left="360"/>
              <w:jc w:val="both"/>
              <w:rPr>
                <w:sz w:val="20"/>
                <w:lang w:eastAsia="zh-CN"/>
              </w:rPr>
            </w:pPr>
            <w:r>
              <w:rPr>
                <w:sz w:val="20"/>
                <w:lang w:eastAsia="zh-CN"/>
              </w:rPr>
              <w:t xml:space="preserve">Q1: For DL-AoD and DL-TDOA, </w:t>
            </w:r>
            <w:bookmarkStart w:id="7" w:name="OLE_LINK15"/>
            <w:r>
              <w:rPr>
                <w:sz w:val="20"/>
                <w:lang w:eastAsia="zh-CN"/>
              </w:rPr>
              <w:t>whether the UE capability of supporting multiple location estimate instances in a single measurement report is needed</w:t>
            </w:r>
            <w:bookmarkEnd w:id="7"/>
            <w:r>
              <w:rPr>
                <w:sz w:val="20"/>
                <w:lang w:eastAsia="zh-CN"/>
              </w:rPr>
              <w:t>?</w:t>
            </w:r>
          </w:p>
          <w:p>
            <w:pPr>
              <w:pStyle w:val="139"/>
              <w:spacing w:after="120"/>
              <w:ind w:left="360"/>
              <w:jc w:val="both"/>
              <w:rPr>
                <w:sz w:val="20"/>
                <w:lang w:eastAsia="zh-CN"/>
              </w:rPr>
            </w:pPr>
            <w:bookmarkStart w:id="8" w:name="OLE_LINK5"/>
            <w:r>
              <w:rPr>
                <w:sz w:val="20"/>
                <w:lang w:eastAsia="zh-CN"/>
              </w:rPr>
              <w:t xml:space="preserve">Q2: If answer to Q1 is YES, whether to add a new separate Rel-17 UE capability for multiple location estimate instances in LPP UE capability signaling, or to specify that the existing UE capability </w:t>
            </w:r>
            <w:r>
              <w:rPr>
                <w:i/>
                <w:sz w:val="20"/>
                <w:lang w:eastAsia="zh-CN"/>
              </w:rPr>
              <w:t>multiMeasInSameMeasReport</w:t>
            </w:r>
            <w:r>
              <w:rPr>
                <w:sz w:val="20"/>
                <w:lang w:eastAsia="zh-CN"/>
              </w:rPr>
              <w:t xml:space="preserve"> can also indicate UE capability for supporting multiple location estimate instances in a single measurement report?</w:t>
            </w:r>
          </w:p>
          <w:bookmarkEnd w:id="5"/>
          <w:bookmarkEnd w:id="6"/>
          <w:bookmarkEnd w:id="8"/>
          <w:p>
            <w:pPr>
              <w:spacing w:after="320"/>
              <w:rPr>
                <w:b/>
                <w:sz w:val="20"/>
                <w:szCs w:val="20"/>
              </w:rPr>
            </w:pPr>
            <w:r>
              <w:rPr>
                <w:b/>
                <w:sz w:val="20"/>
                <w:szCs w:val="20"/>
              </w:rPr>
              <w:t>2. Actions:</w:t>
            </w:r>
          </w:p>
          <w:p>
            <w:pPr>
              <w:spacing w:after="120"/>
              <w:ind w:left="1985" w:hanging="1985"/>
              <w:rPr>
                <w:b/>
                <w:sz w:val="20"/>
                <w:szCs w:val="20"/>
              </w:rPr>
            </w:pPr>
            <w:r>
              <w:rPr>
                <w:b/>
                <w:sz w:val="20"/>
                <w:szCs w:val="20"/>
              </w:rPr>
              <w:t>To RAN WG1</w:t>
            </w:r>
          </w:p>
          <w:p>
            <w:pPr>
              <w:spacing w:after="120"/>
              <w:ind w:left="993" w:hanging="993"/>
              <w:jc w:val="both"/>
              <w:rPr>
                <w:sz w:val="20"/>
                <w:szCs w:val="20"/>
              </w:rPr>
            </w:pPr>
            <w:r>
              <w:rPr>
                <w:b/>
                <w:sz w:val="20"/>
                <w:szCs w:val="20"/>
              </w:rPr>
              <w:t xml:space="preserve">ACTION: </w:t>
            </w:r>
            <w:r>
              <w:rPr>
                <w:sz w:val="20"/>
                <w:szCs w:val="20"/>
              </w:rPr>
              <w:tab/>
            </w:r>
            <w:r>
              <w:rPr>
                <w:sz w:val="20"/>
                <w:szCs w:val="20"/>
              </w:rPr>
              <w:t>RAN2 kindly asks RAN1 to provide feedback on the above questions.</w:t>
            </w:r>
          </w:p>
          <w:p>
            <w:pPr>
              <w:snapToGrid w:val="0"/>
              <w:rPr>
                <w:rFonts w:eastAsia="宋体"/>
                <w:kern w:val="2"/>
                <w:sz w:val="20"/>
                <w:szCs w:val="20"/>
              </w:rPr>
            </w:pPr>
          </w:p>
        </w:tc>
      </w:tr>
    </w:tbl>
    <w:p>
      <w:pPr>
        <w:snapToGrid w:val="0"/>
        <w:spacing w:before="120" w:after="120"/>
        <w:jc w:val="both"/>
        <w:rPr>
          <w:rFonts w:eastAsia="Batang"/>
          <w:sz w:val="20"/>
        </w:rPr>
      </w:pPr>
      <w:r>
        <w:rPr>
          <w:rFonts w:hint="eastAsia" w:eastAsia="Batang"/>
          <w:sz w:val="20"/>
        </w:rPr>
        <w:t>In this contribution, we summarize companies</w:t>
      </w:r>
      <w:r>
        <w:rPr>
          <w:rFonts w:eastAsia="Batang"/>
          <w:sz w:val="20"/>
        </w:rPr>
        <w:t>’</w:t>
      </w:r>
      <w:r>
        <w:rPr>
          <w:rFonts w:hint="eastAsia" w:eastAsia="Batang"/>
          <w:sz w:val="20"/>
        </w:rPr>
        <w:t xml:space="preserve"> views on how to reply RAN2</w:t>
      </w:r>
      <w:r>
        <w:rPr>
          <w:rFonts w:eastAsia="Batang"/>
          <w:sz w:val="20"/>
        </w:rPr>
        <w:t>’</w:t>
      </w:r>
      <w:r>
        <w:rPr>
          <w:rFonts w:hint="eastAsia" w:eastAsia="Batang"/>
          <w:sz w:val="20"/>
        </w:rPr>
        <w:t xml:space="preserve">s LS, and try to make consensus. </w:t>
      </w:r>
    </w:p>
    <w:p>
      <w:pPr>
        <w:pStyle w:val="38"/>
        <w:snapToGrid w:val="0"/>
        <w:rPr>
          <w:lang w:val="en-US"/>
        </w:rPr>
      </w:pPr>
      <w:r>
        <w:rPr>
          <w:rFonts w:hint="eastAsia"/>
          <w:lang w:val="en-US"/>
        </w:rPr>
        <w:t>Discussion</w:t>
      </w:r>
    </w:p>
    <w:p>
      <w:pPr>
        <w:snapToGrid w:val="0"/>
        <w:spacing w:before="120" w:after="120"/>
        <w:jc w:val="both"/>
        <w:rPr>
          <w:rFonts w:eastAsia="宋体"/>
          <w:sz w:val="20"/>
          <w:szCs w:val="20"/>
        </w:rPr>
      </w:pPr>
      <w:r>
        <w:rPr>
          <w:rFonts w:eastAsia="宋体"/>
          <w:sz w:val="20"/>
          <w:szCs w:val="20"/>
        </w:rPr>
        <w:t>With regards to</w:t>
      </w:r>
      <w:r>
        <w:rPr>
          <w:rFonts w:hint="eastAsia" w:eastAsia="宋体"/>
          <w:sz w:val="20"/>
          <w:szCs w:val="20"/>
        </w:rPr>
        <w:t xml:space="preserve"> answers for</w:t>
      </w:r>
      <w:r>
        <w:rPr>
          <w:rFonts w:eastAsia="宋体"/>
          <w:sz w:val="20"/>
          <w:szCs w:val="20"/>
        </w:rPr>
        <w:t xml:space="preserve"> </w:t>
      </w:r>
      <w:r>
        <w:rPr>
          <w:rFonts w:hint="eastAsia" w:eastAsia="宋体"/>
          <w:sz w:val="20"/>
          <w:szCs w:val="20"/>
        </w:rPr>
        <w:t xml:space="preserve">the two </w:t>
      </w:r>
      <w:r>
        <w:rPr>
          <w:rFonts w:eastAsia="宋体"/>
          <w:sz w:val="20"/>
          <w:szCs w:val="20"/>
        </w:rPr>
        <w:t>question</w:t>
      </w:r>
      <w:r>
        <w:rPr>
          <w:rFonts w:hint="eastAsia" w:eastAsia="宋体"/>
          <w:sz w:val="20"/>
          <w:szCs w:val="20"/>
        </w:rPr>
        <w:t>s from RAN2</w:t>
      </w:r>
      <w:r>
        <w:rPr>
          <w:rFonts w:eastAsia="宋体"/>
          <w:sz w:val="20"/>
          <w:szCs w:val="20"/>
        </w:rPr>
        <w:t xml:space="preserve">, companies’ views are summarized </w:t>
      </w:r>
      <w:r>
        <w:rPr>
          <w:rFonts w:hint="eastAsia" w:eastAsia="宋体"/>
          <w:sz w:val="20"/>
          <w:szCs w:val="20"/>
        </w:rPr>
        <w:t>below:</w:t>
      </w:r>
    </w:p>
    <w:p>
      <w:pPr>
        <w:numPr>
          <w:ilvl w:val="0"/>
          <w:numId w:val="4"/>
        </w:numPr>
        <w:snapToGrid w:val="0"/>
        <w:contextualSpacing/>
        <w:jc w:val="both"/>
        <w:textAlignment w:val="baseline"/>
        <w:rPr>
          <w:sz w:val="20"/>
          <w:szCs w:val="20"/>
        </w:rPr>
      </w:pPr>
      <w:r>
        <w:rPr>
          <w:sz w:val="20"/>
          <w:szCs w:val="20"/>
        </w:rPr>
        <w:t>Q1</w:t>
      </w:r>
      <w:r>
        <w:rPr>
          <w:rFonts w:hint="eastAsia"/>
          <w:sz w:val="20"/>
          <w:szCs w:val="20"/>
        </w:rPr>
        <w:t>, i.e.</w:t>
      </w:r>
      <w:r>
        <w:rPr>
          <w:sz w:val="20"/>
          <w:szCs w:val="20"/>
        </w:rPr>
        <w:t xml:space="preserve"> </w:t>
      </w:r>
      <w:r>
        <w:rPr>
          <w:rFonts w:hint="eastAsia"/>
          <w:sz w:val="20"/>
          <w:szCs w:val="20"/>
        </w:rPr>
        <w:t>f</w:t>
      </w:r>
      <w:r>
        <w:rPr>
          <w:sz w:val="20"/>
          <w:szCs w:val="20"/>
        </w:rPr>
        <w:t xml:space="preserve">or DL-AoD and DL-TDOA, whether the UE capability of </w:t>
      </w:r>
      <w:bookmarkStart w:id="9" w:name="OLE_LINK13"/>
      <w:r>
        <w:rPr>
          <w:sz w:val="20"/>
          <w:szCs w:val="20"/>
        </w:rPr>
        <w:t>supporting multiple location estimate instances in a single measurement report is needed</w:t>
      </w:r>
      <w:bookmarkEnd w:id="9"/>
    </w:p>
    <w:p>
      <w:pPr>
        <w:numPr>
          <w:ilvl w:val="1"/>
          <w:numId w:val="4"/>
        </w:numPr>
        <w:snapToGrid w:val="0"/>
        <w:contextualSpacing/>
        <w:jc w:val="both"/>
        <w:textAlignment w:val="baseline"/>
        <w:rPr>
          <w:sz w:val="20"/>
          <w:szCs w:val="20"/>
        </w:rPr>
      </w:pPr>
      <w:r>
        <w:rPr>
          <w:sz w:val="20"/>
          <w:szCs w:val="20"/>
        </w:rPr>
        <w:t xml:space="preserve">Yes: </w:t>
      </w:r>
    </w:p>
    <w:p>
      <w:pPr>
        <w:numPr>
          <w:ilvl w:val="2"/>
          <w:numId w:val="4"/>
        </w:numPr>
        <w:snapToGrid w:val="0"/>
        <w:contextualSpacing/>
        <w:jc w:val="both"/>
        <w:textAlignment w:val="baseline"/>
        <w:rPr>
          <w:sz w:val="20"/>
          <w:szCs w:val="20"/>
        </w:rPr>
      </w:pPr>
      <w:r>
        <w:rPr>
          <w:sz w:val="20"/>
          <w:szCs w:val="20"/>
        </w:rPr>
        <w:t>Qualcomm, ZTE, Samsung</w:t>
      </w:r>
    </w:p>
    <w:p>
      <w:pPr>
        <w:numPr>
          <w:ilvl w:val="1"/>
          <w:numId w:val="4"/>
        </w:numPr>
        <w:snapToGrid w:val="0"/>
        <w:contextualSpacing/>
        <w:jc w:val="both"/>
        <w:textAlignment w:val="baseline"/>
        <w:rPr>
          <w:sz w:val="20"/>
          <w:szCs w:val="20"/>
        </w:rPr>
      </w:pPr>
      <w:r>
        <w:rPr>
          <w:sz w:val="20"/>
          <w:szCs w:val="20"/>
        </w:rPr>
        <w:t>No</w:t>
      </w:r>
      <w:r>
        <w:rPr>
          <w:rFonts w:hint="eastAsia"/>
          <w:sz w:val="20"/>
          <w:szCs w:val="20"/>
        </w:rPr>
        <w:t xml:space="preserve">: </w:t>
      </w:r>
    </w:p>
    <w:p>
      <w:pPr>
        <w:numPr>
          <w:ilvl w:val="2"/>
          <w:numId w:val="4"/>
        </w:numPr>
        <w:snapToGrid w:val="0"/>
        <w:contextualSpacing/>
        <w:jc w:val="both"/>
        <w:textAlignment w:val="baseline"/>
        <w:rPr>
          <w:sz w:val="20"/>
          <w:szCs w:val="20"/>
        </w:rPr>
      </w:pPr>
      <w:r>
        <w:rPr>
          <w:rFonts w:hint="eastAsia"/>
          <w:sz w:val="20"/>
          <w:szCs w:val="20"/>
        </w:rPr>
        <w:t>vivo</w:t>
      </w:r>
    </w:p>
    <w:p>
      <w:pPr>
        <w:numPr>
          <w:ilvl w:val="1"/>
          <w:numId w:val="4"/>
        </w:numPr>
        <w:snapToGrid w:val="0"/>
        <w:contextualSpacing/>
        <w:jc w:val="both"/>
        <w:textAlignment w:val="baseline"/>
        <w:rPr>
          <w:sz w:val="20"/>
          <w:szCs w:val="20"/>
        </w:rPr>
      </w:pPr>
      <w:r>
        <w:rPr>
          <w:rFonts w:hint="eastAsia"/>
          <w:sz w:val="20"/>
          <w:szCs w:val="20"/>
        </w:rPr>
        <w:t xml:space="preserve">No </w:t>
      </w:r>
      <w:r>
        <w:rPr>
          <w:sz w:val="20"/>
          <w:szCs w:val="20"/>
        </w:rPr>
        <w:t>need to support multiple location estimate instances in a single measurement from RAN1 perspective:</w:t>
      </w:r>
    </w:p>
    <w:p>
      <w:pPr>
        <w:numPr>
          <w:ilvl w:val="2"/>
          <w:numId w:val="4"/>
        </w:numPr>
        <w:snapToGrid w:val="0"/>
        <w:contextualSpacing/>
        <w:jc w:val="both"/>
        <w:textAlignment w:val="baseline"/>
        <w:rPr>
          <w:sz w:val="20"/>
          <w:szCs w:val="20"/>
        </w:rPr>
      </w:pPr>
      <w:r>
        <w:rPr>
          <w:sz w:val="20"/>
          <w:szCs w:val="20"/>
        </w:rPr>
        <w:t>CATT</w:t>
      </w:r>
    </w:p>
    <w:p>
      <w:pPr>
        <w:numPr>
          <w:ilvl w:val="1"/>
          <w:numId w:val="4"/>
        </w:numPr>
        <w:snapToGrid w:val="0"/>
        <w:contextualSpacing/>
        <w:jc w:val="both"/>
        <w:textAlignment w:val="baseline"/>
        <w:rPr>
          <w:sz w:val="20"/>
          <w:szCs w:val="20"/>
        </w:rPr>
      </w:pPr>
      <w:r>
        <w:rPr>
          <w:sz w:val="20"/>
          <w:szCs w:val="20"/>
        </w:rPr>
        <w:t xml:space="preserve">It was not within the scope of RAN1 discussion, leave the decision to RAN2: </w:t>
      </w:r>
    </w:p>
    <w:p>
      <w:pPr>
        <w:numPr>
          <w:ilvl w:val="2"/>
          <w:numId w:val="4"/>
        </w:numPr>
        <w:snapToGrid w:val="0"/>
        <w:contextualSpacing/>
        <w:jc w:val="both"/>
        <w:textAlignment w:val="baseline"/>
        <w:rPr>
          <w:rFonts w:eastAsia="宋体"/>
          <w:sz w:val="20"/>
          <w:szCs w:val="20"/>
        </w:rPr>
      </w:pPr>
      <w:r>
        <w:rPr>
          <w:sz w:val="20"/>
          <w:szCs w:val="20"/>
        </w:rPr>
        <w:t>Ericsson, Huawei</w:t>
      </w:r>
    </w:p>
    <w:p>
      <w:pPr>
        <w:numPr>
          <w:ilvl w:val="0"/>
          <w:numId w:val="4"/>
        </w:numPr>
        <w:snapToGrid w:val="0"/>
        <w:contextualSpacing/>
        <w:jc w:val="both"/>
        <w:textAlignment w:val="baseline"/>
        <w:rPr>
          <w:rFonts w:eastAsia="宋体"/>
          <w:sz w:val="20"/>
          <w:szCs w:val="20"/>
        </w:rPr>
      </w:pPr>
      <w:r>
        <w:rPr>
          <w:sz w:val="20"/>
          <w:szCs w:val="20"/>
        </w:rPr>
        <w:t>Q2: If answer to Q1 is YES, whether to add a new separate Rel-17 UE capability for multiple location estimate instances in LPP UE capability signaling, or to specify that the existing UE capability multiMeasInSameMeasReport can also indicate UE capability for supporting multiple location estimate instances in a single measurement report?</w:t>
      </w:r>
    </w:p>
    <w:p>
      <w:pPr>
        <w:numPr>
          <w:ilvl w:val="1"/>
          <w:numId w:val="4"/>
        </w:numPr>
        <w:snapToGrid w:val="0"/>
        <w:contextualSpacing/>
        <w:jc w:val="both"/>
        <w:textAlignment w:val="baseline"/>
        <w:rPr>
          <w:rFonts w:eastAsia="宋体"/>
          <w:sz w:val="20"/>
          <w:szCs w:val="20"/>
        </w:rPr>
      </w:pPr>
      <w:r>
        <w:rPr>
          <w:rFonts w:eastAsia="宋体"/>
          <w:sz w:val="20"/>
          <w:szCs w:val="20"/>
        </w:rPr>
        <w:t>Introduce separate UE capability</w:t>
      </w:r>
    </w:p>
    <w:p>
      <w:pPr>
        <w:numPr>
          <w:ilvl w:val="2"/>
          <w:numId w:val="4"/>
        </w:numPr>
        <w:snapToGrid w:val="0"/>
        <w:contextualSpacing/>
        <w:jc w:val="both"/>
        <w:textAlignment w:val="baseline"/>
        <w:rPr>
          <w:rFonts w:eastAsia="宋体"/>
          <w:sz w:val="20"/>
          <w:szCs w:val="20"/>
        </w:rPr>
      </w:pPr>
      <w:r>
        <w:rPr>
          <w:rFonts w:eastAsia="宋体"/>
          <w:sz w:val="20"/>
          <w:szCs w:val="20"/>
        </w:rPr>
        <w:t xml:space="preserve">Qualcomm, Samsung </w:t>
      </w:r>
    </w:p>
    <w:p>
      <w:pPr>
        <w:numPr>
          <w:ilvl w:val="1"/>
          <w:numId w:val="4"/>
        </w:numPr>
        <w:snapToGrid w:val="0"/>
        <w:contextualSpacing/>
        <w:jc w:val="both"/>
        <w:textAlignment w:val="baseline"/>
        <w:rPr>
          <w:rFonts w:eastAsia="宋体"/>
          <w:sz w:val="20"/>
          <w:szCs w:val="20"/>
        </w:rPr>
      </w:pPr>
      <w:r>
        <w:rPr>
          <w:rFonts w:eastAsia="宋体"/>
          <w:sz w:val="20"/>
          <w:szCs w:val="20"/>
        </w:rPr>
        <w:t>Reuse the existing one</w:t>
      </w:r>
    </w:p>
    <w:p>
      <w:pPr>
        <w:numPr>
          <w:ilvl w:val="2"/>
          <w:numId w:val="4"/>
        </w:numPr>
        <w:snapToGrid w:val="0"/>
        <w:contextualSpacing/>
        <w:jc w:val="both"/>
        <w:textAlignment w:val="baseline"/>
        <w:rPr>
          <w:rFonts w:eastAsia="宋体"/>
          <w:sz w:val="20"/>
          <w:szCs w:val="20"/>
        </w:rPr>
      </w:pPr>
      <w:r>
        <w:rPr>
          <w:rFonts w:eastAsia="宋体"/>
          <w:sz w:val="20"/>
          <w:szCs w:val="20"/>
        </w:rPr>
        <w:t>ZTE</w:t>
      </w:r>
      <w:r>
        <w:rPr>
          <w:rFonts w:hint="eastAsia" w:eastAsia="宋体"/>
          <w:sz w:val="20"/>
          <w:szCs w:val="20"/>
        </w:rPr>
        <w:t>, vivo</w:t>
      </w:r>
    </w:p>
    <w:p>
      <w:pPr>
        <w:snapToGrid w:val="0"/>
        <w:spacing w:before="120" w:after="120"/>
        <w:jc w:val="both"/>
        <w:rPr>
          <w:sz w:val="20"/>
          <w:szCs w:val="20"/>
          <w:highlight w:val="yellow"/>
        </w:rPr>
      </w:pPr>
      <w:r>
        <w:rPr>
          <w:rFonts w:hint="eastAsia" w:eastAsia="宋体"/>
          <w:sz w:val="20"/>
          <w:szCs w:val="20"/>
        </w:rPr>
        <w:t>Based on the submitted contributions</w:t>
      </w:r>
      <w:r>
        <w:rPr>
          <w:rFonts w:eastAsia="宋体"/>
          <w:sz w:val="20"/>
          <w:szCs w:val="20"/>
        </w:rPr>
        <w:t xml:space="preserve">, Ericsson, Huawei, CATT mention that </w:t>
      </w:r>
      <w:bookmarkStart w:id="10" w:name="OLE_LINK10"/>
      <w:r>
        <w:rPr>
          <w:rFonts w:eastAsia="宋体"/>
          <w:sz w:val="20"/>
          <w:szCs w:val="20"/>
        </w:rPr>
        <w:t xml:space="preserve">the functionality of reporting multiple location estimate was not </w:t>
      </w:r>
      <w:r>
        <w:rPr>
          <w:rFonts w:hint="eastAsia" w:eastAsia="宋体"/>
          <w:sz w:val="20"/>
          <w:szCs w:val="20"/>
        </w:rPr>
        <w:t>within</w:t>
      </w:r>
      <w:r>
        <w:rPr>
          <w:rFonts w:eastAsia="宋体"/>
          <w:sz w:val="20"/>
          <w:szCs w:val="20"/>
        </w:rPr>
        <w:t xml:space="preserve"> the scope of RAN1 discussion</w:t>
      </w:r>
      <w:bookmarkEnd w:id="10"/>
      <w:r>
        <w:rPr>
          <w:rFonts w:eastAsia="宋体"/>
          <w:sz w:val="20"/>
          <w:szCs w:val="20"/>
        </w:rPr>
        <w:t xml:space="preserve">. In Rel-17, the motivation supporting </w:t>
      </w:r>
      <w:r>
        <w:rPr>
          <w:sz w:val="20"/>
          <w:szCs w:val="20"/>
        </w:rPr>
        <w:t>multiple measurement instances in a single measurement report</w:t>
      </w:r>
      <w:r>
        <w:rPr>
          <w:rFonts w:eastAsia="宋体"/>
          <w:sz w:val="20"/>
          <w:szCs w:val="20"/>
        </w:rPr>
        <w:t xml:space="preserve"> was to </w:t>
      </w:r>
      <w:r>
        <w:rPr>
          <w:sz w:val="20"/>
          <w:szCs w:val="20"/>
        </w:rPr>
        <w:t>overcome the Rx/Tx timing error</w:t>
      </w:r>
      <w:r>
        <w:rPr>
          <w:rFonts w:hint="eastAsia"/>
          <w:sz w:val="20"/>
          <w:szCs w:val="20"/>
        </w:rPr>
        <w:t xml:space="preserve"> especially</w:t>
      </w:r>
      <w:r>
        <w:rPr>
          <w:sz w:val="20"/>
          <w:szCs w:val="20"/>
        </w:rPr>
        <w:t xml:space="preserve"> for the case of timing change during multiple PRS/SRS transmission occasions</w:t>
      </w:r>
      <w:r>
        <w:rPr>
          <w:rFonts w:hint="eastAsia"/>
          <w:sz w:val="20"/>
          <w:szCs w:val="20"/>
        </w:rPr>
        <w:t xml:space="preserve">, and improve the positioning accuracy. </w:t>
      </w:r>
      <w:r>
        <w:rPr>
          <w:sz w:val="20"/>
          <w:szCs w:val="20"/>
        </w:rPr>
        <w:t>The solution is finally extended to AOA and AOD</w:t>
      </w:r>
      <w:r>
        <w:rPr>
          <w:rFonts w:hint="eastAsia"/>
          <w:sz w:val="20"/>
          <w:szCs w:val="20"/>
        </w:rPr>
        <w:t xml:space="preserve"> positioning method. With that, </w:t>
      </w:r>
      <w:r>
        <w:rPr>
          <w:rFonts w:eastAsia="宋体"/>
          <w:sz w:val="20"/>
          <w:szCs w:val="20"/>
        </w:rPr>
        <w:t>CATT do</w:t>
      </w:r>
      <w:r>
        <w:rPr>
          <w:rFonts w:hint="eastAsia" w:eastAsia="宋体"/>
          <w:sz w:val="20"/>
          <w:szCs w:val="20"/>
        </w:rPr>
        <w:t>es</w:t>
      </w:r>
      <w:r>
        <w:rPr>
          <w:rFonts w:eastAsia="宋体"/>
          <w:sz w:val="20"/>
          <w:szCs w:val="20"/>
        </w:rPr>
        <w:t xml:space="preserve"> not see the need to support </w:t>
      </w:r>
      <w:r>
        <w:rPr>
          <w:sz w:val="20"/>
          <w:szCs w:val="20"/>
        </w:rPr>
        <w:t>multiple location estimate instances in a single measurement report</w:t>
      </w:r>
      <w:r>
        <w:rPr>
          <w:rFonts w:hint="eastAsia"/>
          <w:sz w:val="20"/>
          <w:szCs w:val="20"/>
        </w:rPr>
        <w:t xml:space="preserve"> for UE-based positioning. </w:t>
      </w:r>
      <w:r>
        <w:rPr>
          <w:sz w:val="20"/>
          <w:szCs w:val="20"/>
        </w:rPr>
        <w:t>While vivo thinks if the UE supports multiple measurement instances in a single measurement report and positioning mode of ‘UE-based’, the UE capability of multiple location estimate instances in a single measurement report is naturally supported</w:t>
      </w:r>
      <w:r>
        <w:rPr>
          <w:rFonts w:eastAsia="宋体"/>
          <w:sz w:val="20"/>
          <w:szCs w:val="20"/>
        </w:rPr>
        <w:t>. Thus, no need to introduce a new UE capability.</w:t>
      </w:r>
      <w:r>
        <w:rPr>
          <w:rFonts w:hint="eastAsia" w:eastAsia="宋体"/>
          <w:sz w:val="20"/>
          <w:szCs w:val="20"/>
        </w:rPr>
        <w:t xml:space="preserve"> For other companies, like Qualcomm, ZTE and Samsung, they think the UE capability of </w:t>
      </w:r>
      <w:r>
        <w:rPr>
          <w:sz w:val="20"/>
          <w:szCs w:val="20"/>
        </w:rPr>
        <w:t>supporting multiple location estimate instances in a single measurement report is needed</w:t>
      </w:r>
      <w:r>
        <w:rPr>
          <w:rFonts w:hint="eastAsia"/>
          <w:sz w:val="20"/>
          <w:szCs w:val="20"/>
        </w:rPr>
        <w:t xml:space="preserve">, where Qualcomm and Samsung suggest a new UE capability, but ZTE prefers to reuse the existing UE capability. </w:t>
      </w:r>
    </w:p>
    <w:p>
      <w:pPr>
        <w:snapToGrid w:val="0"/>
        <w:spacing w:before="120" w:after="120"/>
        <w:jc w:val="both"/>
        <w:rPr>
          <w:rFonts w:eastAsia="宋体"/>
          <w:sz w:val="20"/>
          <w:szCs w:val="20"/>
        </w:rPr>
      </w:pPr>
      <w:r>
        <w:rPr>
          <w:rFonts w:hint="eastAsia" w:eastAsia="宋体"/>
          <w:sz w:val="20"/>
          <w:szCs w:val="20"/>
        </w:rPr>
        <w:t>With the above analysis, moderator suggest the following proposal</w:t>
      </w:r>
    </w:p>
    <w:p>
      <w:pPr>
        <w:snapToGrid w:val="0"/>
        <w:spacing w:before="120" w:after="120"/>
        <w:jc w:val="both"/>
        <w:rPr>
          <w:rFonts w:eastAsia="宋体"/>
          <w:sz w:val="20"/>
          <w:szCs w:val="20"/>
        </w:rPr>
      </w:pPr>
    </w:p>
    <w:p>
      <w:pPr>
        <w:snapToGrid w:val="0"/>
        <w:spacing w:before="120" w:after="120"/>
        <w:jc w:val="both"/>
        <w:rPr>
          <w:rFonts w:eastAsia="宋体"/>
          <w:sz w:val="20"/>
          <w:szCs w:val="20"/>
        </w:rPr>
      </w:pPr>
      <w:bookmarkStart w:id="11" w:name="OLE_LINK14"/>
      <w:r>
        <w:rPr>
          <w:rFonts w:eastAsia="宋体"/>
          <w:b/>
          <w:bCs/>
          <w:sz w:val="20"/>
          <w:szCs w:val="20"/>
        </w:rPr>
        <w:t>Proposal</w:t>
      </w:r>
      <w:r>
        <w:rPr>
          <w:rFonts w:hint="eastAsia" w:eastAsia="宋体"/>
          <w:b/>
          <w:bCs/>
          <w:sz w:val="20"/>
          <w:szCs w:val="20"/>
        </w:rPr>
        <w:t xml:space="preserve"> 1</w:t>
      </w:r>
      <w:r>
        <w:rPr>
          <w:rFonts w:eastAsia="宋体"/>
          <w:b/>
          <w:bCs/>
          <w:sz w:val="20"/>
          <w:szCs w:val="20"/>
        </w:rPr>
        <w:t>:</w:t>
      </w:r>
      <w:r>
        <w:rPr>
          <w:rFonts w:eastAsia="宋体"/>
          <w:sz w:val="20"/>
          <w:szCs w:val="20"/>
        </w:rPr>
        <w:t xml:space="preserve"> Reply an LS to RAN2 that, the functionality of reporting </w:t>
      </w:r>
      <w:bookmarkStart w:id="12" w:name="OLE_LINK11"/>
      <w:r>
        <w:rPr>
          <w:rFonts w:eastAsia="宋体"/>
          <w:sz w:val="20"/>
          <w:szCs w:val="20"/>
        </w:rPr>
        <w:t>multiple location estimate instances in a single measurement report</w:t>
      </w:r>
      <w:bookmarkEnd w:id="12"/>
      <w:r>
        <w:rPr>
          <w:rFonts w:eastAsia="宋体"/>
          <w:sz w:val="20"/>
          <w:szCs w:val="20"/>
        </w:rPr>
        <w:t xml:space="preserve"> was not within the scope of Rel-17 RAN1 discussion. From RAN1 perspective, it is unnecessary to report multiple location estimate instances in a single measurement report for UE-based positioning. Thus, RAN1 would like to let RAN2 decide whether and how to implement the functionality.</w:t>
      </w:r>
    </w:p>
    <w:bookmarkEnd w:id="11"/>
    <w:p>
      <w:pPr>
        <w:snapToGrid w:val="0"/>
        <w:spacing w:before="120" w:after="120"/>
        <w:jc w:val="both"/>
        <w:rPr>
          <w:rFonts w:eastAsia="宋体"/>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6"/>
        <w:gridCol w:w="7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rFonts w:eastAsia="宋体"/>
                <w:b/>
                <w:bCs/>
                <w:sz w:val="20"/>
                <w:szCs w:val="20"/>
              </w:rPr>
            </w:pPr>
            <w:r>
              <w:rPr>
                <w:rFonts w:eastAsia="宋体"/>
                <w:b/>
                <w:bCs/>
                <w:sz w:val="20"/>
                <w:szCs w:val="20"/>
              </w:rPr>
              <w:t>Company</w:t>
            </w:r>
          </w:p>
        </w:tc>
        <w:tc>
          <w:tcPr>
            <w:tcW w:w="7574" w:type="dxa"/>
          </w:tcPr>
          <w:p>
            <w:pPr>
              <w:snapToGrid w:val="0"/>
              <w:rPr>
                <w:rFonts w:eastAsia="宋体"/>
                <w:b/>
                <w:bCs/>
                <w:sz w:val="20"/>
                <w:szCs w:val="20"/>
              </w:rPr>
            </w:pPr>
            <w:r>
              <w:rPr>
                <w:rFonts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rFonts w:eastAsiaTheme="minorEastAsia"/>
                <w:sz w:val="20"/>
                <w:szCs w:val="20"/>
              </w:rPr>
            </w:pPr>
            <w:r>
              <w:rPr>
                <w:rFonts w:hint="eastAsia" w:eastAsiaTheme="minorEastAsia"/>
                <w:sz w:val="20"/>
                <w:szCs w:val="20"/>
              </w:rPr>
              <w:t>H</w:t>
            </w:r>
            <w:r>
              <w:rPr>
                <w:rFonts w:eastAsiaTheme="minorEastAsia"/>
                <w:sz w:val="20"/>
                <w:szCs w:val="20"/>
              </w:rPr>
              <w:t>uawei, HiSilicon</w:t>
            </w:r>
          </w:p>
        </w:tc>
        <w:tc>
          <w:tcPr>
            <w:tcW w:w="7574" w:type="dxa"/>
          </w:tcPr>
          <w:p>
            <w:pPr>
              <w:snapToGrid w:val="0"/>
              <w:rPr>
                <w:rFonts w:eastAsiaTheme="minorEastAsia"/>
                <w:sz w:val="20"/>
                <w:szCs w:val="20"/>
              </w:rPr>
            </w:pPr>
            <w:r>
              <w:rPr>
                <w:rFonts w:hint="eastAsia" w:eastAsiaTheme="minorEastAsia"/>
                <w:sz w:val="20"/>
                <w:szCs w:val="20"/>
              </w:rPr>
              <w:t>W</w:t>
            </w:r>
            <w:r>
              <w:rPr>
                <w:rFonts w:eastAsiaTheme="minorEastAsia"/>
                <w:sz w:val="20"/>
                <w:szCs w:val="20"/>
              </w:rPr>
              <w:t>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sz w:val="20"/>
                <w:szCs w:val="20"/>
              </w:rPr>
            </w:pPr>
            <w:r>
              <w:rPr>
                <w:sz w:val="20"/>
                <w:szCs w:val="20"/>
              </w:rPr>
              <w:t>Qualcomm</w:t>
            </w:r>
          </w:p>
        </w:tc>
        <w:tc>
          <w:tcPr>
            <w:tcW w:w="7574" w:type="dxa"/>
          </w:tcPr>
          <w:p>
            <w:pPr>
              <w:snapToGrid w:val="0"/>
              <w:rPr>
                <w:sz w:val="20"/>
                <w:szCs w:val="20"/>
              </w:rPr>
            </w:pPr>
            <w:r>
              <w:rPr>
                <w:sz w:val="20"/>
                <w:szCs w:val="20"/>
              </w:rPr>
              <w:t>The agreement that led to this feature is the following:</w:t>
            </w:r>
          </w:p>
          <w:p>
            <w:pPr>
              <w:snapToGrid w:val="0"/>
              <w:rPr>
                <w:sz w:val="20"/>
                <w:szCs w:val="20"/>
              </w:rPr>
            </w:pPr>
          </w:p>
          <w:p>
            <w:pPr>
              <w:pStyle w:val="114"/>
              <w:ind w:left="284" w:hanging="284"/>
              <w:rPr>
                <w:b/>
                <w:highlight w:val="green"/>
              </w:rPr>
            </w:pPr>
            <w:r>
              <w:rPr>
                <w:b/>
                <w:highlight w:val="green"/>
              </w:rPr>
              <w:t>Agreement</w:t>
            </w:r>
          </w:p>
          <w:p>
            <w:pPr>
              <w:pStyle w:val="139"/>
              <w:numPr>
                <w:ilvl w:val="0"/>
                <w:numId w:val="5"/>
              </w:numPr>
              <w:spacing w:after="0" w:line="259" w:lineRule="auto"/>
              <w:jc w:val="both"/>
              <w:textAlignment w:val="auto"/>
            </w:pPr>
            <w:r>
              <w:t>The association between measurement instances and UE measurements in the report to LMF should be defined as follows:</w:t>
            </w:r>
          </w:p>
          <w:p>
            <w:pPr>
              <w:pStyle w:val="139"/>
              <w:numPr>
                <w:ilvl w:val="1"/>
                <w:numId w:val="5"/>
              </w:numPr>
              <w:spacing w:after="0" w:line="259" w:lineRule="auto"/>
              <w:jc w:val="both"/>
              <w:textAlignment w:val="auto"/>
            </w:pPr>
            <w:r>
              <w:t xml:space="preserve">For each indicated positioning method in a measurement report, multiple measurement instances are associated with the indicated positioning method. </w:t>
            </w:r>
          </w:p>
          <w:p>
            <w:pPr>
              <w:pStyle w:val="139"/>
              <w:numPr>
                <w:ilvl w:val="2"/>
                <w:numId w:val="5"/>
              </w:numPr>
              <w:spacing w:after="0" w:line="259" w:lineRule="auto"/>
              <w:jc w:val="both"/>
              <w:textAlignment w:val="auto"/>
              <w:rPr>
                <w:rFonts w:eastAsia="MS Mincho"/>
                <w:highlight w:val="magenta"/>
              </w:rPr>
            </w:pPr>
            <w:r>
              <w:rPr>
                <w:rFonts w:eastAsia="MS Mincho"/>
              </w:rPr>
              <w:t xml:space="preserve">E.g., a UE reports in a single NR-XXX-ProvideLocationInformation, multiple NR-XXX-SignalMeasurementInformation elements for UE assisted positioning, and </w:t>
            </w:r>
            <w:r>
              <w:rPr>
                <w:rFonts w:eastAsia="MS Mincho"/>
                <w:highlight w:val="magenta"/>
              </w:rPr>
              <w:t xml:space="preserve">NR-XXX-LocationInformation for UE-based positioning. </w:t>
            </w:r>
          </w:p>
          <w:p>
            <w:pPr>
              <w:pStyle w:val="139"/>
              <w:numPr>
                <w:ilvl w:val="0"/>
                <w:numId w:val="5"/>
              </w:numPr>
              <w:spacing w:after="0" w:line="259" w:lineRule="auto"/>
              <w:jc w:val="both"/>
              <w:textAlignment w:val="auto"/>
            </w:pPr>
            <w:r>
              <w:t>It is up to RAN2 on how to implement above agreement</w:t>
            </w:r>
          </w:p>
          <w:p>
            <w:pPr>
              <w:pStyle w:val="139"/>
              <w:numPr>
                <w:ilvl w:val="0"/>
                <w:numId w:val="5"/>
              </w:numPr>
              <w:spacing w:after="0" w:line="259" w:lineRule="auto"/>
              <w:jc w:val="both"/>
              <w:textAlignment w:val="auto"/>
            </w:pPr>
            <w:r>
              <w:t>It is up to RAN3 to implement the association between measurement instances and gNB measurements in the report to LMF</w:t>
            </w:r>
          </w:p>
          <w:p>
            <w:pPr>
              <w:pStyle w:val="139"/>
              <w:numPr>
                <w:ilvl w:val="0"/>
                <w:numId w:val="5"/>
              </w:numPr>
              <w:spacing w:after="0" w:line="259" w:lineRule="auto"/>
              <w:jc w:val="both"/>
              <w:textAlignment w:val="auto"/>
            </w:pPr>
            <w:r>
              <w:t>Send an LS to RAN2/RAN3, asking them to take above information into account in their signalling work.</w:t>
            </w:r>
          </w:p>
          <w:p>
            <w:pPr>
              <w:snapToGrid w:val="0"/>
              <w:rPr>
                <w:sz w:val="20"/>
                <w:szCs w:val="20"/>
              </w:rPr>
            </w:pPr>
          </w:p>
          <w:p>
            <w:pPr>
              <w:snapToGrid w:val="0"/>
              <w:rPr>
                <w:sz w:val="20"/>
                <w:szCs w:val="20"/>
              </w:rPr>
            </w:pPr>
          </w:p>
          <w:p>
            <w:pPr>
              <w:snapToGrid w:val="0"/>
              <w:rPr>
                <w:sz w:val="20"/>
                <w:szCs w:val="20"/>
              </w:rPr>
            </w:pPr>
            <w:r>
              <w:rPr>
                <w:sz w:val="20"/>
                <w:szCs w:val="20"/>
              </w:rPr>
              <w:t xml:space="preserve">We see that UE-based was considered since it is as </w:t>
            </w:r>
            <w:r>
              <w:rPr>
                <w:sz w:val="20"/>
                <w:szCs w:val="20"/>
                <w:highlight w:val="magenta"/>
              </w:rPr>
              <w:t>example</w:t>
            </w:r>
            <w:r>
              <w:rPr>
                <w:sz w:val="20"/>
                <w:szCs w:val="20"/>
              </w:rPr>
              <w:t xml:space="preserve"> in the agreement. So, we don’t agree with the statement:</w:t>
            </w:r>
          </w:p>
          <w:p>
            <w:pPr>
              <w:snapToGrid w:val="0"/>
              <w:rPr>
                <w:sz w:val="20"/>
                <w:szCs w:val="20"/>
              </w:rPr>
            </w:pPr>
          </w:p>
          <w:p>
            <w:pPr>
              <w:snapToGrid w:val="0"/>
              <w:rPr>
                <w:sz w:val="20"/>
                <w:szCs w:val="20"/>
              </w:rPr>
            </w:pPr>
            <w:r>
              <w:rPr>
                <w:sz w:val="20"/>
                <w:szCs w:val="20"/>
              </w:rPr>
              <w:t>“</w:t>
            </w:r>
            <w:r>
              <w:rPr>
                <w:rFonts w:eastAsia="宋体"/>
                <w:sz w:val="20"/>
                <w:szCs w:val="20"/>
              </w:rPr>
              <w:t>. From RAN1 perspective, it is unnecessary to report multiple location estimate instances in a single measurement report for UE-based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sz w:val="20"/>
                <w:szCs w:val="20"/>
              </w:rPr>
            </w:pPr>
            <w:r>
              <w:rPr>
                <w:rFonts w:asciiTheme="minorEastAsia" w:hAnsiTheme="minorEastAsia" w:eastAsiaTheme="minorEastAsia"/>
                <w:sz w:val="20"/>
                <w:szCs w:val="20"/>
              </w:rPr>
              <w:t>S</w:t>
            </w:r>
            <w:r>
              <w:rPr>
                <w:rFonts w:hint="eastAsia" w:asciiTheme="minorEastAsia" w:hAnsiTheme="minorEastAsia" w:eastAsiaTheme="minorEastAsia"/>
                <w:sz w:val="20"/>
                <w:szCs w:val="20"/>
              </w:rPr>
              <w:t>amsung</w:t>
            </w:r>
          </w:p>
        </w:tc>
        <w:tc>
          <w:tcPr>
            <w:tcW w:w="7574" w:type="dxa"/>
          </w:tcPr>
          <w:p>
            <w:pPr>
              <w:snapToGrid w:val="0"/>
              <w:rPr>
                <w:rFonts w:eastAsiaTheme="minorEastAsia"/>
                <w:sz w:val="20"/>
                <w:szCs w:val="20"/>
              </w:rPr>
            </w:pPr>
            <w:r>
              <w:rPr>
                <w:rFonts w:eastAsiaTheme="minorEastAsia"/>
                <w:sz w:val="20"/>
                <w:szCs w:val="20"/>
              </w:rPr>
              <w:t>We agree that this mulitpe location estimates for UE based positioning is not triggered by RAN1.</w:t>
            </w:r>
          </w:p>
          <w:p>
            <w:pPr>
              <w:snapToGrid w:val="0"/>
              <w:rPr>
                <w:rFonts w:eastAsiaTheme="minorEastAsia"/>
                <w:sz w:val="20"/>
                <w:szCs w:val="20"/>
              </w:rPr>
            </w:pPr>
            <w:r>
              <w:rPr>
                <w:rFonts w:eastAsiaTheme="minorEastAsia"/>
                <w:sz w:val="20"/>
                <w:szCs w:val="20"/>
              </w:rPr>
              <w:t xml:space="preserve">However, techonically speaking, since the UE based and UE assisted positioning can be separately supported by UE, so separate the capability is a neat way to handle this. </w:t>
            </w:r>
          </w:p>
          <w:p>
            <w:pPr>
              <w:snapToGrid w:val="0"/>
              <w:rPr>
                <w:rFonts w:eastAsiaTheme="minorEastAsia"/>
                <w:sz w:val="20"/>
                <w:szCs w:val="20"/>
              </w:rPr>
            </w:pPr>
            <w:r>
              <w:rPr>
                <w:rFonts w:eastAsiaTheme="minorEastAsia"/>
                <w:sz w:val="20"/>
                <w:szCs w:val="20"/>
              </w:rPr>
              <w:t xml:space="preserve">So we don’t support the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76" w:type="dxa"/>
          </w:tcPr>
          <w:p>
            <w:pPr>
              <w:snapToGrid w:val="0"/>
              <w:rPr>
                <w:sz w:val="20"/>
                <w:szCs w:val="20"/>
              </w:rPr>
            </w:pPr>
            <w:r>
              <w:rPr>
                <w:rFonts w:asciiTheme="minorEastAsia" w:hAnsiTheme="minorEastAsia" w:eastAsiaTheme="minorEastAsia"/>
                <w:sz w:val="20"/>
                <w:szCs w:val="20"/>
              </w:rPr>
              <w:t>CATT</w:t>
            </w:r>
          </w:p>
        </w:tc>
        <w:tc>
          <w:tcPr>
            <w:tcW w:w="7574" w:type="dxa"/>
          </w:tcPr>
          <w:p>
            <w:pPr>
              <w:snapToGrid w:val="0"/>
              <w:rPr>
                <w:rFonts w:eastAsiaTheme="minorEastAsia"/>
                <w:sz w:val="20"/>
                <w:szCs w:val="20"/>
              </w:rPr>
            </w:pPr>
            <w:r>
              <w:rPr>
                <w:rFonts w:eastAsiaTheme="minorEastAsia"/>
                <w:sz w:val="20"/>
                <w:szCs w:val="20"/>
              </w:rPr>
              <w:t>Support</w:t>
            </w:r>
          </w:p>
        </w:tc>
      </w:tr>
    </w:tbl>
    <w:p>
      <w:pPr>
        <w:snapToGrid w:val="0"/>
        <w:rPr>
          <w:sz w:val="20"/>
          <w:szCs w:val="20"/>
        </w:rPr>
      </w:pPr>
    </w:p>
    <w:p>
      <w:pPr>
        <w:snapToGrid w:val="0"/>
        <w:rPr>
          <w:rFonts w:hint="eastAsia" w:eastAsia="宋体"/>
          <w:sz w:val="20"/>
          <w:szCs w:val="20"/>
          <w:lang w:val="en-US" w:eastAsia="zh-CN"/>
        </w:rPr>
      </w:pPr>
    </w:p>
    <w:p>
      <w:pPr>
        <w:pStyle w:val="197"/>
        <w:widowControl/>
        <w:numPr>
          <w:ilvl w:val="0"/>
          <w:numId w:val="0"/>
        </w:numPr>
        <w:autoSpaceDE/>
        <w:autoSpaceDN/>
        <w:spacing w:after="180" w:line="259" w:lineRule="auto"/>
        <w:ind w:left="0" w:firstLine="0"/>
        <w:jc w:val="both"/>
        <w:rPr>
          <w:rFonts w:hint="default" w:ascii="Arial" w:hAnsi="Arial" w:eastAsia="MS Mincho" w:cs="Times New Roman"/>
          <w:b w:val="0"/>
          <w:bCs w:val="0"/>
          <w:sz w:val="28"/>
          <w:szCs w:val="20"/>
          <w:highlight w:val="none"/>
          <w:lang w:val="en-US" w:eastAsia="zh-CN" w:bidi="ar-SA"/>
        </w:rPr>
      </w:pPr>
      <w:r>
        <w:rPr>
          <w:rFonts w:hint="eastAsia" w:ascii="Arial" w:hAnsi="Arial" w:eastAsia="MS Mincho" w:cs="Times New Roman"/>
          <w:b w:val="0"/>
          <w:bCs w:val="0"/>
          <w:sz w:val="28"/>
          <w:szCs w:val="20"/>
          <w:highlight w:val="none"/>
          <w:lang w:val="en-US" w:eastAsia="zh-CN" w:bidi="ar-SA"/>
        </w:rPr>
        <w:t xml:space="preserve">Update proposal </w:t>
      </w:r>
    </w:p>
    <w:p>
      <w:pPr>
        <w:snapToGrid w:val="0"/>
        <w:spacing w:before="120" w:after="120"/>
        <w:jc w:val="both"/>
        <w:rPr>
          <w:rFonts w:eastAsia="宋体"/>
          <w:sz w:val="20"/>
          <w:szCs w:val="20"/>
        </w:rPr>
      </w:pPr>
      <w:r>
        <w:rPr>
          <w:rFonts w:eastAsia="宋体"/>
          <w:b/>
          <w:bCs/>
          <w:sz w:val="20"/>
          <w:szCs w:val="20"/>
        </w:rPr>
        <w:t>Proposal</w:t>
      </w:r>
      <w:r>
        <w:rPr>
          <w:rFonts w:hint="eastAsia" w:eastAsia="宋体"/>
          <w:b/>
          <w:bCs/>
          <w:sz w:val="20"/>
          <w:szCs w:val="20"/>
        </w:rPr>
        <w:t xml:space="preserve"> 1</w:t>
      </w:r>
      <w:r>
        <w:rPr>
          <w:rFonts w:hint="eastAsia" w:eastAsia="宋体"/>
          <w:b/>
          <w:bCs/>
          <w:sz w:val="20"/>
          <w:szCs w:val="20"/>
          <w:lang w:val="en-US" w:eastAsia="zh-CN"/>
        </w:rPr>
        <w:t>a</w:t>
      </w:r>
      <w:r>
        <w:rPr>
          <w:rFonts w:eastAsia="宋体"/>
          <w:b/>
          <w:bCs/>
          <w:sz w:val="20"/>
          <w:szCs w:val="20"/>
        </w:rPr>
        <w:t>:</w:t>
      </w:r>
      <w:r>
        <w:rPr>
          <w:rFonts w:eastAsia="宋体"/>
          <w:sz w:val="20"/>
          <w:szCs w:val="20"/>
        </w:rPr>
        <w:t xml:space="preserve"> Reply an LS to RAN2 that, </w:t>
      </w:r>
      <w:r>
        <w:rPr>
          <w:rFonts w:hint="eastAsia" w:eastAsia="宋体"/>
          <w:sz w:val="20"/>
          <w:szCs w:val="20"/>
          <w:lang w:val="en-US" w:eastAsia="zh-CN"/>
        </w:rPr>
        <w:t xml:space="preserve">RAN1 does not reach consensus on </w:t>
      </w:r>
      <w:r>
        <w:rPr>
          <w:rFonts w:eastAsia="宋体"/>
          <w:sz w:val="20"/>
          <w:szCs w:val="20"/>
        </w:rPr>
        <w:t>the</w:t>
      </w:r>
      <w:r>
        <w:rPr>
          <w:rFonts w:hint="eastAsia" w:eastAsia="宋体"/>
          <w:sz w:val="20"/>
          <w:szCs w:val="20"/>
          <w:lang w:val="en-US" w:eastAsia="zh-CN"/>
        </w:rPr>
        <w:t xml:space="preserve"> UE capability for </w:t>
      </w:r>
      <w:r>
        <w:rPr>
          <w:rFonts w:eastAsia="宋体"/>
          <w:sz w:val="20"/>
          <w:szCs w:val="20"/>
        </w:rPr>
        <w:t xml:space="preserve">reporting multiple location estimate instances in a single measurement report. </w:t>
      </w:r>
      <w:r>
        <w:rPr>
          <w:rFonts w:hint="eastAsia" w:eastAsia="宋体"/>
          <w:sz w:val="20"/>
          <w:szCs w:val="20"/>
          <w:lang w:val="en-US" w:eastAsia="zh-CN"/>
        </w:rPr>
        <w:t>Hence</w:t>
      </w:r>
      <w:r>
        <w:rPr>
          <w:rFonts w:eastAsia="宋体"/>
          <w:sz w:val="20"/>
          <w:szCs w:val="20"/>
        </w:rPr>
        <w:t xml:space="preserve">, RAN1 would like to let RAN2 decide whether and how </w:t>
      </w:r>
      <w:r>
        <w:rPr>
          <w:rFonts w:hint="eastAsia"/>
          <w:sz w:val="20"/>
          <w:lang w:val="en-US" w:eastAsia="zh-CN"/>
        </w:rPr>
        <w:t>to implement</w:t>
      </w:r>
      <w:r>
        <w:rPr>
          <w:sz w:val="20"/>
          <w:lang w:eastAsia="zh-CN"/>
        </w:rPr>
        <w:t xml:space="preserve"> the UE capability of supporting multiple location estimate instances in a single measurement report</w:t>
      </w:r>
      <w:r>
        <w:rPr>
          <w:rFonts w:eastAsia="宋体"/>
          <w:sz w:val="20"/>
          <w:szCs w:val="20"/>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6"/>
        <w:gridCol w:w="7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rFonts w:eastAsia="宋体"/>
                <w:b/>
                <w:bCs/>
                <w:sz w:val="20"/>
                <w:szCs w:val="20"/>
              </w:rPr>
            </w:pPr>
            <w:r>
              <w:rPr>
                <w:rFonts w:eastAsia="宋体"/>
                <w:b/>
                <w:bCs/>
                <w:sz w:val="20"/>
                <w:szCs w:val="20"/>
              </w:rPr>
              <w:t>Company</w:t>
            </w:r>
          </w:p>
        </w:tc>
        <w:tc>
          <w:tcPr>
            <w:tcW w:w="7574" w:type="dxa"/>
          </w:tcPr>
          <w:p>
            <w:pPr>
              <w:snapToGrid w:val="0"/>
              <w:rPr>
                <w:rFonts w:eastAsia="宋体"/>
                <w:b/>
                <w:bCs/>
                <w:sz w:val="20"/>
                <w:szCs w:val="20"/>
              </w:rPr>
            </w:pPr>
            <w:r>
              <w:rPr>
                <w:rFonts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tcPr>
          <w:p>
            <w:pPr>
              <w:snapToGrid w:val="0"/>
              <w:rPr>
                <w:rFonts w:eastAsiaTheme="minorEastAsia"/>
                <w:sz w:val="20"/>
                <w:szCs w:val="20"/>
              </w:rPr>
            </w:pPr>
          </w:p>
        </w:tc>
        <w:tc>
          <w:tcPr>
            <w:tcW w:w="7574" w:type="dxa"/>
          </w:tcPr>
          <w:p>
            <w:pPr>
              <w:snapToGrid w:val="0"/>
              <w:rPr>
                <w:rFonts w:eastAsiaTheme="minorEastAsia"/>
                <w:sz w:val="20"/>
                <w:szCs w:val="20"/>
              </w:rPr>
            </w:pPr>
          </w:p>
        </w:tc>
      </w:tr>
    </w:tbl>
    <w:p>
      <w:pPr>
        <w:snapToGrid w:val="0"/>
        <w:rPr>
          <w:sz w:val="20"/>
          <w:szCs w:val="20"/>
        </w:rPr>
      </w:pPr>
    </w:p>
    <w:p>
      <w:pPr>
        <w:snapToGrid w:val="0"/>
      </w:pPr>
    </w:p>
    <w:p>
      <w:pPr>
        <w:pStyle w:val="38"/>
        <w:snapToGrid w:val="0"/>
        <w:rPr>
          <w:lang w:val="en-US"/>
        </w:rPr>
      </w:pPr>
      <w:r>
        <w:rPr>
          <w:rFonts w:hint="eastAsia"/>
          <w:lang w:val="en-US"/>
        </w:rPr>
        <w:t>Conclusion</w:t>
      </w:r>
    </w:p>
    <w:p/>
    <w:p/>
    <w:p>
      <w:pPr>
        <w:snapToGrid w:val="0"/>
      </w:pPr>
    </w:p>
    <w:p>
      <w:pPr>
        <w:pStyle w:val="38"/>
        <w:snapToGrid w:val="0"/>
        <w:rPr>
          <w:lang w:val="en-US"/>
        </w:rPr>
      </w:pPr>
      <w:r>
        <w:rPr>
          <w:rFonts w:hint="eastAsia"/>
          <w:lang w:val="en-US"/>
        </w:rPr>
        <w:t>References</w:t>
      </w:r>
    </w:p>
    <w:p>
      <w:pPr>
        <w:numPr>
          <w:ilvl w:val="0"/>
          <w:numId w:val="6"/>
        </w:numPr>
        <w:snapToGrid w:val="0"/>
        <w:jc w:val="both"/>
        <w:rPr>
          <w:sz w:val="20"/>
          <w:szCs w:val="20"/>
        </w:rPr>
      </w:pPr>
      <w:r>
        <w:rPr>
          <w:sz w:val="20"/>
          <w:szCs w:val="20"/>
        </w:rPr>
        <w:t>R1-2310118</w:t>
      </w:r>
      <w:r>
        <w:rPr>
          <w:sz w:val="20"/>
          <w:szCs w:val="20"/>
        </w:rPr>
        <w:tab/>
      </w:r>
      <w:r>
        <w:rPr>
          <w:sz w:val="20"/>
          <w:szCs w:val="20"/>
        </w:rPr>
        <w:t xml:space="preserve">Draft reply to the LS on the support of multiple location estimate instances in a single </w:t>
      </w:r>
      <w:r>
        <w:rPr>
          <w:rFonts w:hint="eastAsia" w:eastAsia="宋体"/>
          <w:sz w:val="20"/>
          <w:szCs w:val="20"/>
        </w:rPr>
        <w:t xml:space="preserve">  </w:t>
      </w:r>
      <w:r>
        <w:rPr>
          <w:sz w:val="20"/>
          <w:szCs w:val="20"/>
        </w:rPr>
        <w:t>measurement report</w:t>
      </w:r>
      <w:r>
        <w:rPr>
          <w:sz w:val="20"/>
          <w:szCs w:val="20"/>
        </w:rPr>
        <w:tab/>
      </w:r>
      <w:r>
        <w:rPr>
          <w:sz w:val="20"/>
          <w:szCs w:val="20"/>
        </w:rPr>
        <w:t>Qualcomm Incorporated</w:t>
      </w:r>
      <w:bookmarkStart w:id="13" w:name="OLE_LINK6"/>
    </w:p>
    <w:p>
      <w:pPr>
        <w:numPr>
          <w:ilvl w:val="0"/>
          <w:numId w:val="6"/>
        </w:numPr>
        <w:snapToGrid w:val="0"/>
        <w:jc w:val="both"/>
        <w:rPr>
          <w:sz w:val="20"/>
          <w:szCs w:val="20"/>
        </w:rPr>
      </w:pPr>
      <w:r>
        <w:rPr>
          <w:sz w:val="20"/>
          <w:szCs w:val="20"/>
        </w:rPr>
        <w:t>R1-2310191</w:t>
      </w:r>
      <w:bookmarkEnd w:id="13"/>
      <w:r>
        <w:rPr>
          <w:sz w:val="20"/>
          <w:szCs w:val="20"/>
        </w:rPr>
        <w:tab/>
      </w:r>
      <w:r>
        <w:rPr>
          <w:sz w:val="20"/>
          <w:szCs w:val="20"/>
        </w:rPr>
        <w:t>Discussion  on LS to RAN1 on the support of multiple location estimate instances in a single measurement report</w:t>
      </w:r>
      <w:r>
        <w:rPr>
          <w:sz w:val="20"/>
          <w:szCs w:val="20"/>
        </w:rPr>
        <w:tab/>
      </w:r>
      <w:r>
        <w:rPr>
          <w:sz w:val="20"/>
          <w:szCs w:val="20"/>
        </w:rPr>
        <w:t>Ericsson</w:t>
      </w:r>
    </w:p>
    <w:p>
      <w:pPr>
        <w:numPr>
          <w:ilvl w:val="0"/>
          <w:numId w:val="6"/>
        </w:numPr>
        <w:snapToGrid w:val="0"/>
        <w:jc w:val="both"/>
        <w:rPr>
          <w:sz w:val="20"/>
          <w:szCs w:val="20"/>
        </w:rPr>
      </w:pPr>
      <w:bookmarkStart w:id="14" w:name="OLE_LINK12"/>
      <w:r>
        <w:rPr>
          <w:sz w:val="20"/>
          <w:szCs w:val="20"/>
        </w:rPr>
        <w:t>R1-2310192</w:t>
      </w:r>
      <w:bookmarkEnd w:id="14"/>
      <w:r>
        <w:rPr>
          <w:sz w:val="20"/>
          <w:szCs w:val="20"/>
        </w:rPr>
        <w:tab/>
      </w:r>
      <w:r>
        <w:rPr>
          <w:sz w:val="20"/>
          <w:szCs w:val="20"/>
        </w:rPr>
        <w:t>[DRAFT] reply LS on the support of multiple location estimate instances in a single measurement report</w:t>
      </w:r>
      <w:r>
        <w:rPr>
          <w:sz w:val="20"/>
          <w:szCs w:val="20"/>
        </w:rPr>
        <w:tab/>
      </w:r>
      <w:r>
        <w:rPr>
          <w:sz w:val="20"/>
          <w:szCs w:val="20"/>
        </w:rPr>
        <w:t>Ericsson</w:t>
      </w:r>
    </w:p>
    <w:p>
      <w:pPr>
        <w:numPr>
          <w:ilvl w:val="0"/>
          <w:numId w:val="6"/>
        </w:numPr>
        <w:snapToGrid w:val="0"/>
        <w:jc w:val="both"/>
        <w:rPr>
          <w:sz w:val="20"/>
          <w:szCs w:val="20"/>
        </w:rPr>
      </w:pPr>
      <w:r>
        <w:rPr>
          <w:sz w:val="20"/>
          <w:szCs w:val="20"/>
        </w:rPr>
        <w:t>R1-2309740</w:t>
      </w:r>
      <w:r>
        <w:rPr>
          <w:sz w:val="20"/>
          <w:szCs w:val="20"/>
        </w:rPr>
        <w:tab/>
      </w:r>
      <w:r>
        <w:rPr>
          <w:sz w:val="20"/>
          <w:szCs w:val="20"/>
        </w:rPr>
        <w:t>Discussion on the support of multiple location estimate instances in a single measurement report</w:t>
      </w:r>
      <w:r>
        <w:rPr>
          <w:sz w:val="20"/>
          <w:szCs w:val="20"/>
        </w:rPr>
        <w:tab/>
      </w:r>
      <w:r>
        <w:rPr>
          <w:sz w:val="20"/>
          <w:szCs w:val="20"/>
        </w:rPr>
        <w:t>Huawei, HiSilicon</w:t>
      </w:r>
    </w:p>
    <w:p>
      <w:pPr>
        <w:numPr>
          <w:ilvl w:val="0"/>
          <w:numId w:val="6"/>
        </w:numPr>
        <w:snapToGrid w:val="0"/>
        <w:jc w:val="both"/>
        <w:rPr>
          <w:sz w:val="20"/>
          <w:szCs w:val="20"/>
        </w:rPr>
      </w:pPr>
      <w:bookmarkStart w:id="15" w:name="OLE_LINK7"/>
      <w:r>
        <w:rPr>
          <w:sz w:val="20"/>
          <w:szCs w:val="20"/>
        </w:rPr>
        <w:t>R1-2309474</w:t>
      </w:r>
      <w:bookmarkEnd w:id="15"/>
      <w:r>
        <w:rPr>
          <w:sz w:val="20"/>
          <w:szCs w:val="20"/>
        </w:rPr>
        <w:tab/>
      </w:r>
      <w:r>
        <w:rPr>
          <w:sz w:val="20"/>
          <w:szCs w:val="20"/>
        </w:rPr>
        <w:t>Discussion on on the support of multiple location estimate instances in a single measurement report</w:t>
      </w:r>
      <w:r>
        <w:rPr>
          <w:sz w:val="20"/>
          <w:szCs w:val="20"/>
        </w:rPr>
        <w:tab/>
      </w:r>
      <w:r>
        <w:rPr>
          <w:sz w:val="20"/>
          <w:szCs w:val="20"/>
        </w:rPr>
        <w:t>CATT</w:t>
      </w:r>
    </w:p>
    <w:p>
      <w:pPr>
        <w:numPr>
          <w:ilvl w:val="0"/>
          <w:numId w:val="6"/>
        </w:numPr>
        <w:snapToGrid w:val="0"/>
        <w:jc w:val="both"/>
        <w:rPr>
          <w:sz w:val="20"/>
          <w:szCs w:val="20"/>
        </w:rPr>
      </w:pPr>
      <w:r>
        <w:rPr>
          <w:sz w:val="20"/>
          <w:szCs w:val="20"/>
        </w:rPr>
        <w:t>R1-2309475</w:t>
      </w:r>
      <w:r>
        <w:rPr>
          <w:sz w:val="20"/>
          <w:szCs w:val="20"/>
        </w:rPr>
        <w:tab/>
      </w:r>
      <w:r>
        <w:rPr>
          <w:sz w:val="20"/>
          <w:szCs w:val="20"/>
        </w:rPr>
        <w:t>Draft reply LS on the support of multiple location estimate instances in a single measurement report</w:t>
      </w:r>
      <w:r>
        <w:rPr>
          <w:sz w:val="20"/>
          <w:szCs w:val="20"/>
        </w:rPr>
        <w:tab/>
      </w:r>
      <w:r>
        <w:rPr>
          <w:sz w:val="20"/>
          <w:szCs w:val="20"/>
        </w:rPr>
        <w:t>CATT</w:t>
      </w:r>
    </w:p>
    <w:p>
      <w:pPr>
        <w:numPr>
          <w:ilvl w:val="0"/>
          <w:numId w:val="6"/>
        </w:numPr>
        <w:snapToGrid w:val="0"/>
        <w:jc w:val="both"/>
        <w:rPr>
          <w:sz w:val="20"/>
          <w:szCs w:val="20"/>
        </w:rPr>
      </w:pPr>
      <w:r>
        <w:rPr>
          <w:sz w:val="20"/>
          <w:szCs w:val="20"/>
        </w:rPr>
        <w:t>R1-2309344</w:t>
      </w:r>
      <w:r>
        <w:rPr>
          <w:sz w:val="20"/>
          <w:szCs w:val="20"/>
        </w:rPr>
        <w:tab/>
      </w:r>
      <w:r>
        <w:rPr>
          <w:sz w:val="20"/>
          <w:szCs w:val="20"/>
        </w:rPr>
        <w:t>Draft reply LS on the support of multiple location estimate instances in a single measurement report</w:t>
      </w:r>
      <w:r>
        <w:rPr>
          <w:sz w:val="20"/>
          <w:szCs w:val="20"/>
        </w:rPr>
        <w:tab/>
      </w:r>
      <w:r>
        <w:rPr>
          <w:sz w:val="20"/>
          <w:szCs w:val="20"/>
        </w:rPr>
        <w:t>Samsung</w:t>
      </w:r>
    </w:p>
    <w:p>
      <w:pPr>
        <w:numPr>
          <w:ilvl w:val="0"/>
          <w:numId w:val="6"/>
        </w:numPr>
        <w:snapToGrid w:val="0"/>
        <w:jc w:val="both"/>
        <w:rPr>
          <w:sz w:val="20"/>
          <w:szCs w:val="20"/>
        </w:rPr>
      </w:pPr>
      <w:r>
        <w:rPr>
          <w:sz w:val="20"/>
          <w:szCs w:val="20"/>
        </w:rPr>
        <w:t>R1-2309345</w:t>
      </w:r>
      <w:r>
        <w:rPr>
          <w:sz w:val="20"/>
          <w:szCs w:val="20"/>
        </w:rPr>
        <w:tab/>
      </w:r>
      <w:r>
        <w:rPr>
          <w:sz w:val="20"/>
          <w:szCs w:val="20"/>
        </w:rPr>
        <w:t>Discussion on multiple location estimate instances</w:t>
      </w:r>
      <w:r>
        <w:rPr>
          <w:sz w:val="20"/>
          <w:szCs w:val="20"/>
        </w:rPr>
        <w:tab/>
      </w:r>
      <w:r>
        <w:rPr>
          <w:sz w:val="20"/>
          <w:szCs w:val="20"/>
        </w:rPr>
        <w:t>Samsung</w:t>
      </w:r>
    </w:p>
    <w:p>
      <w:pPr>
        <w:numPr>
          <w:ilvl w:val="0"/>
          <w:numId w:val="6"/>
        </w:numPr>
        <w:snapToGrid w:val="0"/>
        <w:jc w:val="both"/>
        <w:rPr>
          <w:sz w:val="20"/>
          <w:szCs w:val="20"/>
        </w:rPr>
      </w:pPr>
      <w:r>
        <w:rPr>
          <w:sz w:val="20"/>
          <w:szCs w:val="20"/>
        </w:rPr>
        <w:t>R1-2309037</w:t>
      </w:r>
      <w:r>
        <w:rPr>
          <w:sz w:val="20"/>
          <w:szCs w:val="20"/>
        </w:rPr>
        <w:tab/>
      </w:r>
      <w:r>
        <w:rPr>
          <w:sz w:val="20"/>
          <w:szCs w:val="20"/>
        </w:rPr>
        <w:t>Draft LS reply on the support of multiple location estimate instances in a single measurement report</w:t>
      </w:r>
      <w:r>
        <w:rPr>
          <w:rFonts w:hint="eastAsia"/>
          <w:sz w:val="20"/>
          <w:szCs w:val="20"/>
        </w:rPr>
        <w:t xml:space="preserve"> vivo</w:t>
      </w:r>
    </w:p>
    <w:p>
      <w:pPr>
        <w:numPr>
          <w:ilvl w:val="0"/>
          <w:numId w:val="6"/>
        </w:numPr>
        <w:snapToGrid w:val="0"/>
        <w:jc w:val="both"/>
        <w:rPr>
          <w:sz w:val="20"/>
          <w:szCs w:val="20"/>
        </w:rPr>
      </w:pPr>
      <w:r>
        <w:rPr>
          <w:sz w:val="20"/>
          <w:szCs w:val="20"/>
        </w:rPr>
        <w:t>R1-2308826</w:t>
      </w:r>
      <w:r>
        <w:rPr>
          <w:sz w:val="20"/>
          <w:szCs w:val="20"/>
        </w:rPr>
        <w:tab/>
      </w:r>
      <w:r>
        <w:rPr>
          <w:sz w:val="20"/>
          <w:szCs w:val="20"/>
        </w:rPr>
        <w:t>LS on the support of multiple location estimate instances in a single measurement report</w:t>
      </w:r>
      <w:r>
        <w:rPr>
          <w:rFonts w:hint="eastAsia" w:eastAsia="宋体"/>
          <w:sz w:val="20"/>
          <w:szCs w:val="20"/>
        </w:rPr>
        <w:t xml:space="preserve"> </w:t>
      </w:r>
      <w:r>
        <w:rPr>
          <w:sz w:val="20"/>
          <w:szCs w:val="20"/>
        </w:rPr>
        <w:t>ZTE</w:t>
      </w:r>
    </w:p>
    <w:p>
      <w:pPr>
        <w:snapToGrid w:val="0"/>
        <w:rPr>
          <w:rFonts w:eastAsia="宋体"/>
        </w:rPr>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Sylfaen"/>
    <w:panose1 w:val="0000050000000002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微软雅黑"/>
    <w:panose1 w:val="020B0604020202020204"/>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宋体"/>
    <w:panose1 w:val="020B0604020202020204"/>
    <w:charset w:val="00"/>
    <w:family w:val="roman"/>
    <w:pitch w:val="default"/>
    <w:sig w:usb0="00000000" w:usb1="00000000" w:usb2="00000000" w:usb3="00000000" w:csb0="00000000" w:csb1="00000000"/>
  </w:font>
  <w:font w:name="Lohit Devanagari">
    <w:altName w:val="Cambria"/>
    <w:panose1 w:val="020B0604020202020204"/>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CDAC7"/>
    <w:multiLevelType w:val="singleLevel"/>
    <w:tmpl w:val="E72CDAC7"/>
    <w:lvl w:ilvl="0" w:tentative="0">
      <w:start w:val="1"/>
      <w:numFmt w:val="decimal"/>
      <w:suff w:val="space"/>
      <w:lvlText w:val="[%1]"/>
      <w:lvlJc w:val="left"/>
    </w:lvl>
  </w:abstractNum>
  <w:abstractNum w:abstractNumId="1">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2">
    <w:nsid w:val="31315281"/>
    <w:multiLevelType w:val="multilevel"/>
    <w:tmpl w:val="313152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5F1912B1"/>
    <w:multiLevelType w:val="multilevel"/>
    <w:tmpl w:val="5F1912B1"/>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79A3337"/>
    <w:multiLevelType w:val="multilevel"/>
    <w:tmpl w:val="779A333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documentProtection w:enforcement="0"/>
  <w:defaultTabStop w:val="720"/>
  <w:autoHyphenation/>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4B8F"/>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5A26"/>
    <w:rsid w:val="00085C00"/>
    <w:rsid w:val="00090181"/>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05"/>
    <w:rsid w:val="00492A44"/>
    <w:rsid w:val="00494340"/>
    <w:rsid w:val="0049549E"/>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50C5"/>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341F"/>
    <w:rsid w:val="006E3740"/>
    <w:rsid w:val="006E5136"/>
    <w:rsid w:val="006E535A"/>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33D"/>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73A"/>
    <w:rsid w:val="00960B65"/>
    <w:rsid w:val="009612B2"/>
    <w:rsid w:val="00961C49"/>
    <w:rsid w:val="00961CD3"/>
    <w:rsid w:val="009620A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5D0"/>
    <w:rsid w:val="0098164D"/>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F71"/>
    <w:rsid w:val="009C4AE1"/>
    <w:rsid w:val="009C64C6"/>
    <w:rsid w:val="009C6D36"/>
    <w:rsid w:val="009C7860"/>
    <w:rsid w:val="009D041E"/>
    <w:rsid w:val="009D1DCA"/>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A8B"/>
    <w:rsid w:val="00A124CE"/>
    <w:rsid w:val="00A12730"/>
    <w:rsid w:val="00A130AC"/>
    <w:rsid w:val="00A13B79"/>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2BD7"/>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1CFF"/>
    <w:rsid w:val="00A52B52"/>
    <w:rsid w:val="00A52CDD"/>
    <w:rsid w:val="00A530EE"/>
    <w:rsid w:val="00A54623"/>
    <w:rsid w:val="00A54C3B"/>
    <w:rsid w:val="00A570B2"/>
    <w:rsid w:val="00A575EB"/>
    <w:rsid w:val="00A57C30"/>
    <w:rsid w:val="00A57CE2"/>
    <w:rsid w:val="00A60275"/>
    <w:rsid w:val="00A60FE1"/>
    <w:rsid w:val="00A6178D"/>
    <w:rsid w:val="00A62FB2"/>
    <w:rsid w:val="00A63B36"/>
    <w:rsid w:val="00A64C76"/>
    <w:rsid w:val="00A65929"/>
    <w:rsid w:val="00A65ABF"/>
    <w:rsid w:val="00A672CF"/>
    <w:rsid w:val="00A675E3"/>
    <w:rsid w:val="00A700C9"/>
    <w:rsid w:val="00A72145"/>
    <w:rsid w:val="00A729ED"/>
    <w:rsid w:val="00A72C66"/>
    <w:rsid w:val="00A73315"/>
    <w:rsid w:val="00A73AB8"/>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56E7"/>
    <w:rsid w:val="00BD76DC"/>
    <w:rsid w:val="00BD7D1F"/>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417A"/>
    <w:rsid w:val="00CA4F33"/>
    <w:rsid w:val="00CA6598"/>
    <w:rsid w:val="00CA725E"/>
    <w:rsid w:val="00CA729D"/>
    <w:rsid w:val="00CA7DB0"/>
    <w:rsid w:val="00CB1A1B"/>
    <w:rsid w:val="00CB2530"/>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1449"/>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5D69"/>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21C2D"/>
    <w:rsid w:val="00F226C3"/>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906D3"/>
    <w:rsid w:val="01AC112A"/>
    <w:rsid w:val="01B97337"/>
    <w:rsid w:val="01D603EC"/>
    <w:rsid w:val="01DE0860"/>
    <w:rsid w:val="01E8623D"/>
    <w:rsid w:val="01EC6109"/>
    <w:rsid w:val="01F13B79"/>
    <w:rsid w:val="01F366E2"/>
    <w:rsid w:val="01FE3350"/>
    <w:rsid w:val="020247C2"/>
    <w:rsid w:val="02073595"/>
    <w:rsid w:val="020C62E0"/>
    <w:rsid w:val="020E1BC1"/>
    <w:rsid w:val="02145C6B"/>
    <w:rsid w:val="02173ED1"/>
    <w:rsid w:val="023536CE"/>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C15D5B"/>
    <w:rsid w:val="02D37BF4"/>
    <w:rsid w:val="02D83A44"/>
    <w:rsid w:val="02E01EAF"/>
    <w:rsid w:val="02E14102"/>
    <w:rsid w:val="02EC41ED"/>
    <w:rsid w:val="02F34544"/>
    <w:rsid w:val="02FD46D2"/>
    <w:rsid w:val="030003CB"/>
    <w:rsid w:val="03041A43"/>
    <w:rsid w:val="030F094B"/>
    <w:rsid w:val="0316362D"/>
    <w:rsid w:val="03172925"/>
    <w:rsid w:val="03182BA3"/>
    <w:rsid w:val="03200FFB"/>
    <w:rsid w:val="032F123B"/>
    <w:rsid w:val="03302524"/>
    <w:rsid w:val="03385CAF"/>
    <w:rsid w:val="0339603E"/>
    <w:rsid w:val="03396283"/>
    <w:rsid w:val="033C4A4A"/>
    <w:rsid w:val="035D4793"/>
    <w:rsid w:val="03600D99"/>
    <w:rsid w:val="0364779F"/>
    <w:rsid w:val="0371289F"/>
    <w:rsid w:val="037D4AC6"/>
    <w:rsid w:val="03896BE3"/>
    <w:rsid w:val="038A155B"/>
    <w:rsid w:val="038C6C02"/>
    <w:rsid w:val="03937288"/>
    <w:rsid w:val="039F77EB"/>
    <w:rsid w:val="03A87676"/>
    <w:rsid w:val="03B504A3"/>
    <w:rsid w:val="03C76179"/>
    <w:rsid w:val="03CA212E"/>
    <w:rsid w:val="03D06ACE"/>
    <w:rsid w:val="03D31921"/>
    <w:rsid w:val="03D530A9"/>
    <w:rsid w:val="03E733A5"/>
    <w:rsid w:val="03ED537C"/>
    <w:rsid w:val="03EE075D"/>
    <w:rsid w:val="03EF4EC7"/>
    <w:rsid w:val="03F23241"/>
    <w:rsid w:val="0405452F"/>
    <w:rsid w:val="04082DC4"/>
    <w:rsid w:val="040D2C29"/>
    <w:rsid w:val="041765A0"/>
    <w:rsid w:val="04230AD7"/>
    <w:rsid w:val="04253D57"/>
    <w:rsid w:val="042553E0"/>
    <w:rsid w:val="042F421F"/>
    <w:rsid w:val="043978B9"/>
    <w:rsid w:val="04430C79"/>
    <w:rsid w:val="04447564"/>
    <w:rsid w:val="046105BC"/>
    <w:rsid w:val="046F1103"/>
    <w:rsid w:val="04711E39"/>
    <w:rsid w:val="0475505E"/>
    <w:rsid w:val="04801B4C"/>
    <w:rsid w:val="0484161E"/>
    <w:rsid w:val="04882F89"/>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5E70E8"/>
    <w:rsid w:val="057427D2"/>
    <w:rsid w:val="057505F6"/>
    <w:rsid w:val="05762280"/>
    <w:rsid w:val="05765B11"/>
    <w:rsid w:val="058457DB"/>
    <w:rsid w:val="058F6365"/>
    <w:rsid w:val="05A27566"/>
    <w:rsid w:val="05A60C53"/>
    <w:rsid w:val="05B26CD9"/>
    <w:rsid w:val="05B62614"/>
    <w:rsid w:val="05CE200C"/>
    <w:rsid w:val="05D55095"/>
    <w:rsid w:val="05D71422"/>
    <w:rsid w:val="05E16518"/>
    <w:rsid w:val="05E93578"/>
    <w:rsid w:val="05ED1982"/>
    <w:rsid w:val="05FA06DD"/>
    <w:rsid w:val="05FC1320"/>
    <w:rsid w:val="06073F00"/>
    <w:rsid w:val="0612480A"/>
    <w:rsid w:val="06133805"/>
    <w:rsid w:val="061A3190"/>
    <w:rsid w:val="061D7998"/>
    <w:rsid w:val="062B2D2F"/>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40790"/>
    <w:rsid w:val="06A41EC6"/>
    <w:rsid w:val="06A722D5"/>
    <w:rsid w:val="06AA5D30"/>
    <w:rsid w:val="06BC1B5E"/>
    <w:rsid w:val="06C54622"/>
    <w:rsid w:val="06C745AE"/>
    <w:rsid w:val="06CB4C1B"/>
    <w:rsid w:val="06CD75F0"/>
    <w:rsid w:val="06DD0CD0"/>
    <w:rsid w:val="06DE4E27"/>
    <w:rsid w:val="06E3747E"/>
    <w:rsid w:val="06EA35B4"/>
    <w:rsid w:val="06EC450B"/>
    <w:rsid w:val="06ED47ED"/>
    <w:rsid w:val="06EF0CCF"/>
    <w:rsid w:val="06F32E73"/>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B28E5"/>
    <w:rsid w:val="077C3F74"/>
    <w:rsid w:val="07871169"/>
    <w:rsid w:val="079269DC"/>
    <w:rsid w:val="079A0126"/>
    <w:rsid w:val="079A65C3"/>
    <w:rsid w:val="07AF7A77"/>
    <w:rsid w:val="07B07D2A"/>
    <w:rsid w:val="07B973B9"/>
    <w:rsid w:val="07BB464E"/>
    <w:rsid w:val="07BC033E"/>
    <w:rsid w:val="07D806ED"/>
    <w:rsid w:val="07DC6674"/>
    <w:rsid w:val="07E02DDC"/>
    <w:rsid w:val="07E04FEB"/>
    <w:rsid w:val="07F55F19"/>
    <w:rsid w:val="07FA7BB8"/>
    <w:rsid w:val="07FE38F4"/>
    <w:rsid w:val="08033A2A"/>
    <w:rsid w:val="080877E7"/>
    <w:rsid w:val="080F1F6F"/>
    <w:rsid w:val="081F71EC"/>
    <w:rsid w:val="082B1545"/>
    <w:rsid w:val="082B1C77"/>
    <w:rsid w:val="082D41F6"/>
    <w:rsid w:val="08313403"/>
    <w:rsid w:val="08352586"/>
    <w:rsid w:val="083F0917"/>
    <w:rsid w:val="083F1A62"/>
    <w:rsid w:val="084A2ED9"/>
    <w:rsid w:val="084B43AA"/>
    <w:rsid w:val="084C43AA"/>
    <w:rsid w:val="08523ED5"/>
    <w:rsid w:val="085A3DB5"/>
    <w:rsid w:val="085A5BD9"/>
    <w:rsid w:val="085F0398"/>
    <w:rsid w:val="086D0EAC"/>
    <w:rsid w:val="086E05E0"/>
    <w:rsid w:val="08752D90"/>
    <w:rsid w:val="0886328A"/>
    <w:rsid w:val="088A4E57"/>
    <w:rsid w:val="08936E64"/>
    <w:rsid w:val="08963CC2"/>
    <w:rsid w:val="08A05F2E"/>
    <w:rsid w:val="08A649BC"/>
    <w:rsid w:val="08B67B58"/>
    <w:rsid w:val="08BE7186"/>
    <w:rsid w:val="08C7372B"/>
    <w:rsid w:val="08D51E2B"/>
    <w:rsid w:val="08D6479E"/>
    <w:rsid w:val="08D82191"/>
    <w:rsid w:val="08E4276C"/>
    <w:rsid w:val="08EA01C9"/>
    <w:rsid w:val="08F336C0"/>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A6646"/>
    <w:rsid w:val="0AA44693"/>
    <w:rsid w:val="0AA67508"/>
    <w:rsid w:val="0AA97A8C"/>
    <w:rsid w:val="0AAA68C8"/>
    <w:rsid w:val="0AB35CDC"/>
    <w:rsid w:val="0ACD1F1B"/>
    <w:rsid w:val="0ADE08AE"/>
    <w:rsid w:val="0ADF4800"/>
    <w:rsid w:val="0AE514AE"/>
    <w:rsid w:val="0AEC70EC"/>
    <w:rsid w:val="0AFD1714"/>
    <w:rsid w:val="0B0D2EDE"/>
    <w:rsid w:val="0B2D6A9C"/>
    <w:rsid w:val="0B4276ED"/>
    <w:rsid w:val="0B432D81"/>
    <w:rsid w:val="0B5337A7"/>
    <w:rsid w:val="0B576D17"/>
    <w:rsid w:val="0B5D3933"/>
    <w:rsid w:val="0B6771C8"/>
    <w:rsid w:val="0B6C1670"/>
    <w:rsid w:val="0B6D3A62"/>
    <w:rsid w:val="0B7523BE"/>
    <w:rsid w:val="0B7D4F28"/>
    <w:rsid w:val="0B7D6611"/>
    <w:rsid w:val="0B7E53D1"/>
    <w:rsid w:val="0B826A1D"/>
    <w:rsid w:val="0B902B54"/>
    <w:rsid w:val="0B973E91"/>
    <w:rsid w:val="0B9A68A9"/>
    <w:rsid w:val="0BCA2B8C"/>
    <w:rsid w:val="0BCD4A89"/>
    <w:rsid w:val="0BD726FC"/>
    <w:rsid w:val="0BDF0253"/>
    <w:rsid w:val="0BE228B4"/>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FCC"/>
    <w:rsid w:val="0CB23FAF"/>
    <w:rsid w:val="0CB965A2"/>
    <w:rsid w:val="0CC66F73"/>
    <w:rsid w:val="0CCE1990"/>
    <w:rsid w:val="0CCE276B"/>
    <w:rsid w:val="0CD6189D"/>
    <w:rsid w:val="0CD777C3"/>
    <w:rsid w:val="0CDA538B"/>
    <w:rsid w:val="0CDB47BA"/>
    <w:rsid w:val="0CEA7554"/>
    <w:rsid w:val="0CEF5748"/>
    <w:rsid w:val="0CF7514A"/>
    <w:rsid w:val="0CFC7410"/>
    <w:rsid w:val="0D002EE5"/>
    <w:rsid w:val="0D0213E4"/>
    <w:rsid w:val="0D0B38F8"/>
    <w:rsid w:val="0D120832"/>
    <w:rsid w:val="0D232F82"/>
    <w:rsid w:val="0D46535B"/>
    <w:rsid w:val="0D583AF2"/>
    <w:rsid w:val="0D6A77F3"/>
    <w:rsid w:val="0D6D201E"/>
    <w:rsid w:val="0D776120"/>
    <w:rsid w:val="0D781E29"/>
    <w:rsid w:val="0D824F97"/>
    <w:rsid w:val="0D8607F3"/>
    <w:rsid w:val="0D90102E"/>
    <w:rsid w:val="0D9B43B7"/>
    <w:rsid w:val="0D9E6A95"/>
    <w:rsid w:val="0DA8496E"/>
    <w:rsid w:val="0DB26690"/>
    <w:rsid w:val="0DBC679B"/>
    <w:rsid w:val="0DBE440E"/>
    <w:rsid w:val="0DD13DB2"/>
    <w:rsid w:val="0DD15D3A"/>
    <w:rsid w:val="0DD33606"/>
    <w:rsid w:val="0DEE01FB"/>
    <w:rsid w:val="0DF05CFA"/>
    <w:rsid w:val="0DF34951"/>
    <w:rsid w:val="0DFD16A9"/>
    <w:rsid w:val="0E002202"/>
    <w:rsid w:val="0E055897"/>
    <w:rsid w:val="0E141CA7"/>
    <w:rsid w:val="0E240AFF"/>
    <w:rsid w:val="0E25652C"/>
    <w:rsid w:val="0E270CC8"/>
    <w:rsid w:val="0E3D14A5"/>
    <w:rsid w:val="0E445501"/>
    <w:rsid w:val="0E4A4697"/>
    <w:rsid w:val="0E564874"/>
    <w:rsid w:val="0E5D0479"/>
    <w:rsid w:val="0E6072D0"/>
    <w:rsid w:val="0E9F30AF"/>
    <w:rsid w:val="0EA20611"/>
    <w:rsid w:val="0EA2309A"/>
    <w:rsid w:val="0EAB67ED"/>
    <w:rsid w:val="0EAD1781"/>
    <w:rsid w:val="0EB9785E"/>
    <w:rsid w:val="0EC11F44"/>
    <w:rsid w:val="0EC9736F"/>
    <w:rsid w:val="0ECF415A"/>
    <w:rsid w:val="0ED2335F"/>
    <w:rsid w:val="0ED63945"/>
    <w:rsid w:val="0EE0648A"/>
    <w:rsid w:val="0EE50F99"/>
    <w:rsid w:val="0EE908C8"/>
    <w:rsid w:val="0EFA40A2"/>
    <w:rsid w:val="0F0E3698"/>
    <w:rsid w:val="0F161557"/>
    <w:rsid w:val="0F253D88"/>
    <w:rsid w:val="0F2A48AE"/>
    <w:rsid w:val="0F2B207A"/>
    <w:rsid w:val="0F2F44BC"/>
    <w:rsid w:val="0F3D2411"/>
    <w:rsid w:val="0F4D2458"/>
    <w:rsid w:val="0F595EAE"/>
    <w:rsid w:val="0F600425"/>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7303B"/>
    <w:rsid w:val="101C62D7"/>
    <w:rsid w:val="102B3F49"/>
    <w:rsid w:val="1030329B"/>
    <w:rsid w:val="103477B8"/>
    <w:rsid w:val="10426A38"/>
    <w:rsid w:val="10477D40"/>
    <w:rsid w:val="104A76C8"/>
    <w:rsid w:val="1058689E"/>
    <w:rsid w:val="106745D4"/>
    <w:rsid w:val="10711054"/>
    <w:rsid w:val="10770839"/>
    <w:rsid w:val="10894C2E"/>
    <w:rsid w:val="108B1EF7"/>
    <w:rsid w:val="10970C4F"/>
    <w:rsid w:val="10A42ABE"/>
    <w:rsid w:val="10A5493A"/>
    <w:rsid w:val="10AE4F80"/>
    <w:rsid w:val="10E74FC8"/>
    <w:rsid w:val="10FC1DA5"/>
    <w:rsid w:val="11096801"/>
    <w:rsid w:val="110E0720"/>
    <w:rsid w:val="11167168"/>
    <w:rsid w:val="111A40FA"/>
    <w:rsid w:val="11244732"/>
    <w:rsid w:val="11375C4D"/>
    <w:rsid w:val="116F1631"/>
    <w:rsid w:val="11806D20"/>
    <w:rsid w:val="118251BF"/>
    <w:rsid w:val="118B4010"/>
    <w:rsid w:val="119177A5"/>
    <w:rsid w:val="11A300DD"/>
    <w:rsid w:val="11A547ED"/>
    <w:rsid w:val="11A96323"/>
    <w:rsid w:val="11AC3A8C"/>
    <w:rsid w:val="11B1712B"/>
    <w:rsid w:val="11B52F3C"/>
    <w:rsid w:val="11BA3E16"/>
    <w:rsid w:val="11C8454F"/>
    <w:rsid w:val="11CA6E77"/>
    <w:rsid w:val="11CE12A0"/>
    <w:rsid w:val="11E74E7B"/>
    <w:rsid w:val="11ED2B58"/>
    <w:rsid w:val="11EF79F9"/>
    <w:rsid w:val="11F00F3E"/>
    <w:rsid w:val="11F7739F"/>
    <w:rsid w:val="121D5759"/>
    <w:rsid w:val="12215187"/>
    <w:rsid w:val="12272F1E"/>
    <w:rsid w:val="12283478"/>
    <w:rsid w:val="122E5E1C"/>
    <w:rsid w:val="1240726A"/>
    <w:rsid w:val="1250374B"/>
    <w:rsid w:val="12656586"/>
    <w:rsid w:val="12663BEF"/>
    <w:rsid w:val="12696129"/>
    <w:rsid w:val="1272257C"/>
    <w:rsid w:val="12826719"/>
    <w:rsid w:val="128B0EFC"/>
    <w:rsid w:val="128F7486"/>
    <w:rsid w:val="12903988"/>
    <w:rsid w:val="129A0548"/>
    <w:rsid w:val="12B13247"/>
    <w:rsid w:val="12BA61C8"/>
    <w:rsid w:val="12BF4475"/>
    <w:rsid w:val="12C15D6C"/>
    <w:rsid w:val="12D04EE3"/>
    <w:rsid w:val="12D17E62"/>
    <w:rsid w:val="12F86FC2"/>
    <w:rsid w:val="13007A11"/>
    <w:rsid w:val="13043E83"/>
    <w:rsid w:val="13176561"/>
    <w:rsid w:val="131A50A7"/>
    <w:rsid w:val="13286268"/>
    <w:rsid w:val="1331710B"/>
    <w:rsid w:val="1334675A"/>
    <w:rsid w:val="134A68E5"/>
    <w:rsid w:val="134F61E8"/>
    <w:rsid w:val="13642843"/>
    <w:rsid w:val="13662914"/>
    <w:rsid w:val="1368184C"/>
    <w:rsid w:val="1369774E"/>
    <w:rsid w:val="138A0124"/>
    <w:rsid w:val="139F72BD"/>
    <w:rsid w:val="13AB7DA3"/>
    <w:rsid w:val="13BD563C"/>
    <w:rsid w:val="13C253CE"/>
    <w:rsid w:val="13C90583"/>
    <w:rsid w:val="13CB172E"/>
    <w:rsid w:val="13CE48D7"/>
    <w:rsid w:val="13D35FBB"/>
    <w:rsid w:val="13D468F1"/>
    <w:rsid w:val="13FD2C02"/>
    <w:rsid w:val="14030A39"/>
    <w:rsid w:val="14262E9B"/>
    <w:rsid w:val="142656E0"/>
    <w:rsid w:val="142A5125"/>
    <w:rsid w:val="142B717A"/>
    <w:rsid w:val="142C70DF"/>
    <w:rsid w:val="142D60AA"/>
    <w:rsid w:val="142E7388"/>
    <w:rsid w:val="14396909"/>
    <w:rsid w:val="143D6344"/>
    <w:rsid w:val="146D09E3"/>
    <w:rsid w:val="14750EFC"/>
    <w:rsid w:val="148205E9"/>
    <w:rsid w:val="14A35CE8"/>
    <w:rsid w:val="14BE4314"/>
    <w:rsid w:val="14C2786B"/>
    <w:rsid w:val="14D41A55"/>
    <w:rsid w:val="14E00C5D"/>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7F34E6"/>
    <w:rsid w:val="158540DD"/>
    <w:rsid w:val="15894DC2"/>
    <w:rsid w:val="15A46A26"/>
    <w:rsid w:val="15A73F7D"/>
    <w:rsid w:val="15A843EA"/>
    <w:rsid w:val="15AA04D5"/>
    <w:rsid w:val="15AB570B"/>
    <w:rsid w:val="15B716F5"/>
    <w:rsid w:val="15C23F41"/>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3C5E0A"/>
    <w:rsid w:val="163F6D8E"/>
    <w:rsid w:val="16442193"/>
    <w:rsid w:val="164C09E9"/>
    <w:rsid w:val="164C2AFE"/>
    <w:rsid w:val="164F6905"/>
    <w:rsid w:val="1652655B"/>
    <w:rsid w:val="1659218C"/>
    <w:rsid w:val="166F7163"/>
    <w:rsid w:val="167935F7"/>
    <w:rsid w:val="16884C04"/>
    <w:rsid w:val="168D4BC2"/>
    <w:rsid w:val="16951CD1"/>
    <w:rsid w:val="1695487E"/>
    <w:rsid w:val="169871E5"/>
    <w:rsid w:val="169A5C05"/>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305017"/>
    <w:rsid w:val="1733478E"/>
    <w:rsid w:val="173A5AD4"/>
    <w:rsid w:val="173C3EB6"/>
    <w:rsid w:val="174C3574"/>
    <w:rsid w:val="174D5EC0"/>
    <w:rsid w:val="175E5C17"/>
    <w:rsid w:val="17624D63"/>
    <w:rsid w:val="176C44F8"/>
    <w:rsid w:val="17797A0F"/>
    <w:rsid w:val="178161A5"/>
    <w:rsid w:val="17990421"/>
    <w:rsid w:val="17992510"/>
    <w:rsid w:val="179D5FE6"/>
    <w:rsid w:val="17A96AD7"/>
    <w:rsid w:val="17B650A2"/>
    <w:rsid w:val="17C14370"/>
    <w:rsid w:val="17C24058"/>
    <w:rsid w:val="17CE6743"/>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3E57"/>
    <w:rsid w:val="18A63F3A"/>
    <w:rsid w:val="18B22208"/>
    <w:rsid w:val="18C14F2C"/>
    <w:rsid w:val="18D546CE"/>
    <w:rsid w:val="18D60F94"/>
    <w:rsid w:val="18D86806"/>
    <w:rsid w:val="18DC7FC1"/>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D133E7"/>
    <w:rsid w:val="19DF485C"/>
    <w:rsid w:val="19E117D3"/>
    <w:rsid w:val="19E3078A"/>
    <w:rsid w:val="19EB0CC8"/>
    <w:rsid w:val="19EE3E5B"/>
    <w:rsid w:val="19EF41EC"/>
    <w:rsid w:val="19F171FB"/>
    <w:rsid w:val="19F42E0E"/>
    <w:rsid w:val="19F811EF"/>
    <w:rsid w:val="1A0D608B"/>
    <w:rsid w:val="1A0F133A"/>
    <w:rsid w:val="1A125C4C"/>
    <w:rsid w:val="1A142BD7"/>
    <w:rsid w:val="1A21255E"/>
    <w:rsid w:val="1A3D47F5"/>
    <w:rsid w:val="1A3F6BC6"/>
    <w:rsid w:val="1A4C2EF4"/>
    <w:rsid w:val="1A5917A1"/>
    <w:rsid w:val="1A620538"/>
    <w:rsid w:val="1A6C61D4"/>
    <w:rsid w:val="1A846A18"/>
    <w:rsid w:val="1A8564A7"/>
    <w:rsid w:val="1A944361"/>
    <w:rsid w:val="1A96572E"/>
    <w:rsid w:val="1A9C6A52"/>
    <w:rsid w:val="1AA13ABF"/>
    <w:rsid w:val="1AAD6169"/>
    <w:rsid w:val="1AAE7552"/>
    <w:rsid w:val="1AAF4A8F"/>
    <w:rsid w:val="1AB55F88"/>
    <w:rsid w:val="1AEC4F33"/>
    <w:rsid w:val="1AFD3049"/>
    <w:rsid w:val="1AFE1CC0"/>
    <w:rsid w:val="1AFE6E2E"/>
    <w:rsid w:val="1B090CF0"/>
    <w:rsid w:val="1B141D6F"/>
    <w:rsid w:val="1B176268"/>
    <w:rsid w:val="1B19747A"/>
    <w:rsid w:val="1B1C55CB"/>
    <w:rsid w:val="1B202913"/>
    <w:rsid w:val="1B283EF9"/>
    <w:rsid w:val="1B363FB3"/>
    <w:rsid w:val="1B4C2B71"/>
    <w:rsid w:val="1B5125DE"/>
    <w:rsid w:val="1B765F83"/>
    <w:rsid w:val="1B84114D"/>
    <w:rsid w:val="1B8A21DA"/>
    <w:rsid w:val="1B8E6124"/>
    <w:rsid w:val="1BAC5276"/>
    <w:rsid w:val="1BBC4915"/>
    <w:rsid w:val="1BCD527E"/>
    <w:rsid w:val="1BCF3A3F"/>
    <w:rsid w:val="1BE92B0F"/>
    <w:rsid w:val="1BED38F1"/>
    <w:rsid w:val="1BF60A91"/>
    <w:rsid w:val="1BFD155A"/>
    <w:rsid w:val="1C0162E2"/>
    <w:rsid w:val="1C02130A"/>
    <w:rsid w:val="1C0B2EC1"/>
    <w:rsid w:val="1C15236F"/>
    <w:rsid w:val="1C254C02"/>
    <w:rsid w:val="1C2707E4"/>
    <w:rsid w:val="1C271C45"/>
    <w:rsid w:val="1C2A22C1"/>
    <w:rsid w:val="1C2B0D29"/>
    <w:rsid w:val="1C2F2C1A"/>
    <w:rsid w:val="1C383FCB"/>
    <w:rsid w:val="1C4448E1"/>
    <w:rsid w:val="1C4B67C1"/>
    <w:rsid w:val="1C6E1BE7"/>
    <w:rsid w:val="1C744819"/>
    <w:rsid w:val="1C7C1EC1"/>
    <w:rsid w:val="1C9A7B0E"/>
    <w:rsid w:val="1CB51001"/>
    <w:rsid w:val="1CB5756A"/>
    <w:rsid w:val="1CB80C2C"/>
    <w:rsid w:val="1CC03ABA"/>
    <w:rsid w:val="1CC7537E"/>
    <w:rsid w:val="1CDC4702"/>
    <w:rsid w:val="1CDD6AFB"/>
    <w:rsid w:val="1CE419C9"/>
    <w:rsid w:val="1CE538B3"/>
    <w:rsid w:val="1CE97707"/>
    <w:rsid w:val="1CFB3FDC"/>
    <w:rsid w:val="1CFF6E22"/>
    <w:rsid w:val="1D027DA6"/>
    <w:rsid w:val="1D04288A"/>
    <w:rsid w:val="1D0927DA"/>
    <w:rsid w:val="1D0F44FF"/>
    <w:rsid w:val="1D172703"/>
    <w:rsid w:val="1D1744C9"/>
    <w:rsid w:val="1D181F4A"/>
    <w:rsid w:val="1D1C2581"/>
    <w:rsid w:val="1D1D5CDF"/>
    <w:rsid w:val="1D24531D"/>
    <w:rsid w:val="1D3B0759"/>
    <w:rsid w:val="1D3F4FAA"/>
    <w:rsid w:val="1D4F732E"/>
    <w:rsid w:val="1D5B4D40"/>
    <w:rsid w:val="1D5C29BE"/>
    <w:rsid w:val="1D5F7705"/>
    <w:rsid w:val="1D6424EF"/>
    <w:rsid w:val="1D6D54D9"/>
    <w:rsid w:val="1D7D3E6D"/>
    <w:rsid w:val="1D8F3FC5"/>
    <w:rsid w:val="1D9B73AD"/>
    <w:rsid w:val="1D9D610E"/>
    <w:rsid w:val="1DA97F2F"/>
    <w:rsid w:val="1DAF66D5"/>
    <w:rsid w:val="1DC25B05"/>
    <w:rsid w:val="1DD86B52"/>
    <w:rsid w:val="1DDA4EA1"/>
    <w:rsid w:val="1DDC4BDB"/>
    <w:rsid w:val="1DDD6AC7"/>
    <w:rsid w:val="1DE503B0"/>
    <w:rsid w:val="1DE906BE"/>
    <w:rsid w:val="1DF1449B"/>
    <w:rsid w:val="1E06537C"/>
    <w:rsid w:val="1E1647DA"/>
    <w:rsid w:val="1E2A39B3"/>
    <w:rsid w:val="1E314C15"/>
    <w:rsid w:val="1E36109D"/>
    <w:rsid w:val="1E3959DE"/>
    <w:rsid w:val="1E3B3C28"/>
    <w:rsid w:val="1E3D4A45"/>
    <w:rsid w:val="1E45589A"/>
    <w:rsid w:val="1E551397"/>
    <w:rsid w:val="1E563D78"/>
    <w:rsid w:val="1E637965"/>
    <w:rsid w:val="1E69544E"/>
    <w:rsid w:val="1E6E02FD"/>
    <w:rsid w:val="1E7948ED"/>
    <w:rsid w:val="1E821F83"/>
    <w:rsid w:val="1E874440"/>
    <w:rsid w:val="1E96708E"/>
    <w:rsid w:val="1E9D37D3"/>
    <w:rsid w:val="1EAD7DE2"/>
    <w:rsid w:val="1EAF7DBD"/>
    <w:rsid w:val="1ECD122C"/>
    <w:rsid w:val="1ED93A5D"/>
    <w:rsid w:val="1EE47228"/>
    <w:rsid w:val="1EFA7ACE"/>
    <w:rsid w:val="1EFB5963"/>
    <w:rsid w:val="1EFF4369"/>
    <w:rsid w:val="1F087909"/>
    <w:rsid w:val="1F0A2E86"/>
    <w:rsid w:val="1F135C75"/>
    <w:rsid w:val="1F155529"/>
    <w:rsid w:val="1F15650D"/>
    <w:rsid w:val="1F1F1590"/>
    <w:rsid w:val="1F444036"/>
    <w:rsid w:val="1F44705C"/>
    <w:rsid w:val="1F4D1EEA"/>
    <w:rsid w:val="1F4E09F3"/>
    <w:rsid w:val="1F62080A"/>
    <w:rsid w:val="1F690195"/>
    <w:rsid w:val="1F787893"/>
    <w:rsid w:val="1FA60712"/>
    <w:rsid w:val="1FA663EE"/>
    <w:rsid w:val="1FC85FB0"/>
    <w:rsid w:val="1FDB206D"/>
    <w:rsid w:val="1FDB6B3A"/>
    <w:rsid w:val="1FE624B3"/>
    <w:rsid w:val="1FFB53B9"/>
    <w:rsid w:val="20022912"/>
    <w:rsid w:val="20041CC9"/>
    <w:rsid w:val="200E48BA"/>
    <w:rsid w:val="20151933"/>
    <w:rsid w:val="201828B7"/>
    <w:rsid w:val="202441F5"/>
    <w:rsid w:val="20245B6C"/>
    <w:rsid w:val="203F4CE0"/>
    <w:rsid w:val="20400C36"/>
    <w:rsid w:val="20553B36"/>
    <w:rsid w:val="207E58AA"/>
    <w:rsid w:val="20807569"/>
    <w:rsid w:val="208125E5"/>
    <w:rsid w:val="20827B08"/>
    <w:rsid w:val="209914D5"/>
    <w:rsid w:val="209E0592"/>
    <w:rsid w:val="209F6759"/>
    <w:rsid w:val="20A06B43"/>
    <w:rsid w:val="20AA4897"/>
    <w:rsid w:val="20AB0E9C"/>
    <w:rsid w:val="20AE0814"/>
    <w:rsid w:val="20D5703F"/>
    <w:rsid w:val="20D77715"/>
    <w:rsid w:val="20E23A14"/>
    <w:rsid w:val="20E76408"/>
    <w:rsid w:val="20EC39E9"/>
    <w:rsid w:val="20F94395"/>
    <w:rsid w:val="20FB5AC3"/>
    <w:rsid w:val="210E372D"/>
    <w:rsid w:val="21112ACF"/>
    <w:rsid w:val="211E341E"/>
    <w:rsid w:val="21296F4B"/>
    <w:rsid w:val="212C635B"/>
    <w:rsid w:val="212D1E1D"/>
    <w:rsid w:val="21376D67"/>
    <w:rsid w:val="214120F8"/>
    <w:rsid w:val="214445A3"/>
    <w:rsid w:val="215E49C8"/>
    <w:rsid w:val="21661A3E"/>
    <w:rsid w:val="21696417"/>
    <w:rsid w:val="21784A9A"/>
    <w:rsid w:val="217C6CC3"/>
    <w:rsid w:val="217F4811"/>
    <w:rsid w:val="21816606"/>
    <w:rsid w:val="219546B6"/>
    <w:rsid w:val="21991119"/>
    <w:rsid w:val="21AC364B"/>
    <w:rsid w:val="21B57D5A"/>
    <w:rsid w:val="21BC6EDB"/>
    <w:rsid w:val="21BD09EA"/>
    <w:rsid w:val="21E94D3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911DB"/>
    <w:rsid w:val="23441953"/>
    <w:rsid w:val="23452030"/>
    <w:rsid w:val="23570BF0"/>
    <w:rsid w:val="23582989"/>
    <w:rsid w:val="235C3E7C"/>
    <w:rsid w:val="235C7F9A"/>
    <w:rsid w:val="23687A12"/>
    <w:rsid w:val="236C7BED"/>
    <w:rsid w:val="236F1DCC"/>
    <w:rsid w:val="23750F1F"/>
    <w:rsid w:val="23994977"/>
    <w:rsid w:val="239D567C"/>
    <w:rsid w:val="239E0EFF"/>
    <w:rsid w:val="23A41B70"/>
    <w:rsid w:val="23A853F2"/>
    <w:rsid w:val="23AB4C8F"/>
    <w:rsid w:val="23AC6DCA"/>
    <w:rsid w:val="23AD0171"/>
    <w:rsid w:val="23BE5B0E"/>
    <w:rsid w:val="23C02401"/>
    <w:rsid w:val="23C3492E"/>
    <w:rsid w:val="23CF0CB9"/>
    <w:rsid w:val="23D14BD1"/>
    <w:rsid w:val="23DB44D8"/>
    <w:rsid w:val="23E87FF0"/>
    <w:rsid w:val="23F044DC"/>
    <w:rsid w:val="23FD5277"/>
    <w:rsid w:val="241C6D11"/>
    <w:rsid w:val="241F5CCA"/>
    <w:rsid w:val="24324238"/>
    <w:rsid w:val="24325C8A"/>
    <w:rsid w:val="24534111"/>
    <w:rsid w:val="246650C5"/>
    <w:rsid w:val="24683C38"/>
    <w:rsid w:val="24684FD5"/>
    <w:rsid w:val="246A4366"/>
    <w:rsid w:val="2476776C"/>
    <w:rsid w:val="24793117"/>
    <w:rsid w:val="248249F5"/>
    <w:rsid w:val="248944EE"/>
    <w:rsid w:val="24897A95"/>
    <w:rsid w:val="24951CD6"/>
    <w:rsid w:val="24974F47"/>
    <w:rsid w:val="24A37128"/>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E2BAA"/>
    <w:rsid w:val="25504691"/>
    <w:rsid w:val="256F27D7"/>
    <w:rsid w:val="25784125"/>
    <w:rsid w:val="257C268E"/>
    <w:rsid w:val="257F5133"/>
    <w:rsid w:val="25850AF6"/>
    <w:rsid w:val="258C4EA7"/>
    <w:rsid w:val="259428F2"/>
    <w:rsid w:val="25984377"/>
    <w:rsid w:val="259E68D8"/>
    <w:rsid w:val="25A4254E"/>
    <w:rsid w:val="25AA5EAB"/>
    <w:rsid w:val="25B34F53"/>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A41AC"/>
    <w:rsid w:val="267B71B2"/>
    <w:rsid w:val="267C09B3"/>
    <w:rsid w:val="267D4316"/>
    <w:rsid w:val="268166B9"/>
    <w:rsid w:val="268B138A"/>
    <w:rsid w:val="269C1E17"/>
    <w:rsid w:val="269C7E25"/>
    <w:rsid w:val="26BB6F64"/>
    <w:rsid w:val="26C10042"/>
    <w:rsid w:val="26C86887"/>
    <w:rsid w:val="26CE45BA"/>
    <w:rsid w:val="26E41910"/>
    <w:rsid w:val="26EC5939"/>
    <w:rsid w:val="26EE1F39"/>
    <w:rsid w:val="26FD33DF"/>
    <w:rsid w:val="26FE0312"/>
    <w:rsid w:val="270524B3"/>
    <w:rsid w:val="270C45F8"/>
    <w:rsid w:val="27105BB5"/>
    <w:rsid w:val="27135C28"/>
    <w:rsid w:val="271612AC"/>
    <w:rsid w:val="271C1913"/>
    <w:rsid w:val="27244105"/>
    <w:rsid w:val="272B631E"/>
    <w:rsid w:val="27353FBE"/>
    <w:rsid w:val="273A2296"/>
    <w:rsid w:val="274A3DA9"/>
    <w:rsid w:val="274E038B"/>
    <w:rsid w:val="27564D81"/>
    <w:rsid w:val="277344D7"/>
    <w:rsid w:val="27787EB8"/>
    <w:rsid w:val="278D713E"/>
    <w:rsid w:val="2792259F"/>
    <w:rsid w:val="27990CDE"/>
    <w:rsid w:val="27AF2F9E"/>
    <w:rsid w:val="27B76547"/>
    <w:rsid w:val="27BA0784"/>
    <w:rsid w:val="27BF4A70"/>
    <w:rsid w:val="27C20591"/>
    <w:rsid w:val="27C66D50"/>
    <w:rsid w:val="27C75D85"/>
    <w:rsid w:val="27D1121B"/>
    <w:rsid w:val="27DE070D"/>
    <w:rsid w:val="27E452D1"/>
    <w:rsid w:val="27EC67A3"/>
    <w:rsid w:val="28021A59"/>
    <w:rsid w:val="28175856"/>
    <w:rsid w:val="281A77D4"/>
    <w:rsid w:val="28241405"/>
    <w:rsid w:val="28263264"/>
    <w:rsid w:val="28282124"/>
    <w:rsid w:val="282F359C"/>
    <w:rsid w:val="28320BE9"/>
    <w:rsid w:val="283C57B9"/>
    <w:rsid w:val="28412094"/>
    <w:rsid w:val="28420895"/>
    <w:rsid w:val="28435FC3"/>
    <w:rsid w:val="284B47DD"/>
    <w:rsid w:val="284D6D75"/>
    <w:rsid w:val="284E2C01"/>
    <w:rsid w:val="28506006"/>
    <w:rsid w:val="28510F86"/>
    <w:rsid w:val="285B547C"/>
    <w:rsid w:val="285C7220"/>
    <w:rsid w:val="28660AD3"/>
    <w:rsid w:val="286E21DA"/>
    <w:rsid w:val="28796123"/>
    <w:rsid w:val="28820A0F"/>
    <w:rsid w:val="28A075D4"/>
    <w:rsid w:val="28A92C3E"/>
    <w:rsid w:val="28B34A2A"/>
    <w:rsid w:val="28BA3F77"/>
    <w:rsid w:val="28DE26A4"/>
    <w:rsid w:val="28E417C7"/>
    <w:rsid w:val="28E85236"/>
    <w:rsid w:val="29021DE3"/>
    <w:rsid w:val="291A0B6E"/>
    <w:rsid w:val="292025C9"/>
    <w:rsid w:val="29205F9B"/>
    <w:rsid w:val="292B4099"/>
    <w:rsid w:val="293606AF"/>
    <w:rsid w:val="29365CAD"/>
    <w:rsid w:val="293924F6"/>
    <w:rsid w:val="293C1418"/>
    <w:rsid w:val="293D0BD9"/>
    <w:rsid w:val="293E5F38"/>
    <w:rsid w:val="294471C1"/>
    <w:rsid w:val="29476EA9"/>
    <w:rsid w:val="294D397C"/>
    <w:rsid w:val="29565087"/>
    <w:rsid w:val="29581A27"/>
    <w:rsid w:val="295A1330"/>
    <w:rsid w:val="2962029F"/>
    <w:rsid w:val="296707B6"/>
    <w:rsid w:val="2967647C"/>
    <w:rsid w:val="296D29CF"/>
    <w:rsid w:val="29731190"/>
    <w:rsid w:val="29926180"/>
    <w:rsid w:val="29940245"/>
    <w:rsid w:val="299A6B7B"/>
    <w:rsid w:val="299E541A"/>
    <w:rsid w:val="29A06703"/>
    <w:rsid w:val="29A376E4"/>
    <w:rsid w:val="29A54E98"/>
    <w:rsid w:val="29AE7FEF"/>
    <w:rsid w:val="29B155F7"/>
    <w:rsid w:val="29B661FB"/>
    <w:rsid w:val="29BB5F06"/>
    <w:rsid w:val="29C44FF4"/>
    <w:rsid w:val="29DF15BE"/>
    <w:rsid w:val="29E1520C"/>
    <w:rsid w:val="29EA63D1"/>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711E9"/>
    <w:rsid w:val="2A885516"/>
    <w:rsid w:val="2A890264"/>
    <w:rsid w:val="2AAD3300"/>
    <w:rsid w:val="2AAF646C"/>
    <w:rsid w:val="2AAF7424"/>
    <w:rsid w:val="2AB9110D"/>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410F4"/>
    <w:rsid w:val="2B472C9C"/>
    <w:rsid w:val="2B4D3F53"/>
    <w:rsid w:val="2B611ABA"/>
    <w:rsid w:val="2B643180"/>
    <w:rsid w:val="2B662A84"/>
    <w:rsid w:val="2B6F6851"/>
    <w:rsid w:val="2B8C73FD"/>
    <w:rsid w:val="2B9C71CE"/>
    <w:rsid w:val="2BA35DA7"/>
    <w:rsid w:val="2BAE0039"/>
    <w:rsid w:val="2BC0470C"/>
    <w:rsid w:val="2BCF40F4"/>
    <w:rsid w:val="2BD700F9"/>
    <w:rsid w:val="2BE95EFB"/>
    <w:rsid w:val="2BEC169E"/>
    <w:rsid w:val="2BEF2623"/>
    <w:rsid w:val="2BF67340"/>
    <w:rsid w:val="2BFF2D7E"/>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21F0"/>
    <w:rsid w:val="2CE843CF"/>
    <w:rsid w:val="2CEB299B"/>
    <w:rsid w:val="2CED5A52"/>
    <w:rsid w:val="2D0C4BDB"/>
    <w:rsid w:val="2D0F04FC"/>
    <w:rsid w:val="2D1703D8"/>
    <w:rsid w:val="2D190E2C"/>
    <w:rsid w:val="2D2969F0"/>
    <w:rsid w:val="2D350343"/>
    <w:rsid w:val="2D363DB6"/>
    <w:rsid w:val="2D3729D4"/>
    <w:rsid w:val="2D3E57C8"/>
    <w:rsid w:val="2D3F085F"/>
    <w:rsid w:val="2D506AF9"/>
    <w:rsid w:val="2D506D67"/>
    <w:rsid w:val="2D60377E"/>
    <w:rsid w:val="2D636540"/>
    <w:rsid w:val="2D72226F"/>
    <w:rsid w:val="2D831C1E"/>
    <w:rsid w:val="2D881139"/>
    <w:rsid w:val="2D9B5925"/>
    <w:rsid w:val="2DA13731"/>
    <w:rsid w:val="2DA15F14"/>
    <w:rsid w:val="2DA47217"/>
    <w:rsid w:val="2DAE12FF"/>
    <w:rsid w:val="2DAF3940"/>
    <w:rsid w:val="2DB36B85"/>
    <w:rsid w:val="2DB60F43"/>
    <w:rsid w:val="2DC00CDA"/>
    <w:rsid w:val="2DD32C52"/>
    <w:rsid w:val="2DDA4B25"/>
    <w:rsid w:val="2DF66D0F"/>
    <w:rsid w:val="2E043637"/>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351EFA"/>
    <w:rsid w:val="2F3855C9"/>
    <w:rsid w:val="2F465CA7"/>
    <w:rsid w:val="2F605F31"/>
    <w:rsid w:val="2F67278D"/>
    <w:rsid w:val="2F6D3E65"/>
    <w:rsid w:val="2F76738B"/>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62FDB"/>
    <w:rsid w:val="300D6F3D"/>
    <w:rsid w:val="3010163C"/>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70121"/>
    <w:rsid w:val="30BE347A"/>
    <w:rsid w:val="30C25396"/>
    <w:rsid w:val="30C51891"/>
    <w:rsid w:val="30C62B96"/>
    <w:rsid w:val="30CB5544"/>
    <w:rsid w:val="30CB6456"/>
    <w:rsid w:val="30D33017"/>
    <w:rsid w:val="30E42CEB"/>
    <w:rsid w:val="30EB013C"/>
    <w:rsid w:val="30EF04D7"/>
    <w:rsid w:val="30FA074F"/>
    <w:rsid w:val="30FA6AA0"/>
    <w:rsid w:val="310710A1"/>
    <w:rsid w:val="310C5B01"/>
    <w:rsid w:val="310C6B88"/>
    <w:rsid w:val="312E0684"/>
    <w:rsid w:val="312F7DFE"/>
    <w:rsid w:val="31353314"/>
    <w:rsid w:val="313A2A6E"/>
    <w:rsid w:val="313C3E8E"/>
    <w:rsid w:val="31434149"/>
    <w:rsid w:val="3147763C"/>
    <w:rsid w:val="31564836"/>
    <w:rsid w:val="31571361"/>
    <w:rsid w:val="315C3B48"/>
    <w:rsid w:val="316149B4"/>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D4E91"/>
    <w:rsid w:val="32177538"/>
    <w:rsid w:val="322F3062"/>
    <w:rsid w:val="32304717"/>
    <w:rsid w:val="32321EBE"/>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C60567"/>
    <w:rsid w:val="32DE4EFC"/>
    <w:rsid w:val="32E6612A"/>
    <w:rsid w:val="32E71E3E"/>
    <w:rsid w:val="32F267F1"/>
    <w:rsid w:val="32FB7ED1"/>
    <w:rsid w:val="330D2A50"/>
    <w:rsid w:val="331B1D66"/>
    <w:rsid w:val="33240A7C"/>
    <w:rsid w:val="33292380"/>
    <w:rsid w:val="333B3093"/>
    <w:rsid w:val="333C359F"/>
    <w:rsid w:val="33412AB9"/>
    <w:rsid w:val="334252D9"/>
    <w:rsid w:val="334D38C6"/>
    <w:rsid w:val="33582A62"/>
    <w:rsid w:val="335939DD"/>
    <w:rsid w:val="335D756D"/>
    <w:rsid w:val="336E17F0"/>
    <w:rsid w:val="337210CA"/>
    <w:rsid w:val="337711EF"/>
    <w:rsid w:val="3378564A"/>
    <w:rsid w:val="3399046A"/>
    <w:rsid w:val="339B036D"/>
    <w:rsid w:val="33A260DC"/>
    <w:rsid w:val="33AC0754"/>
    <w:rsid w:val="33AD4398"/>
    <w:rsid w:val="33B00659"/>
    <w:rsid w:val="33B3336D"/>
    <w:rsid w:val="33B817F6"/>
    <w:rsid w:val="33B97383"/>
    <w:rsid w:val="33BD1B4B"/>
    <w:rsid w:val="33C13F8E"/>
    <w:rsid w:val="33D5386C"/>
    <w:rsid w:val="33EB3DF2"/>
    <w:rsid w:val="33F85A0F"/>
    <w:rsid w:val="33F95769"/>
    <w:rsid w:val="33FE16DE"/>
    <w:rsid w:val="342C7624"/>
    <w:rsid w:val="344A1A89"/>
    <w:rsid w:val="3451510B"/>
    <w:rsid w:val="345F79A2"/>
    <w:rsid w:val="3461207D"/>
    <w:rsid w:val="34661D88"/>
    <w:rsid w:val="34771D06"/>
    <w:rsid w:val="347A51A5"/>
    <w:rsid w:val="347E2DD8"/>
    <w:rsid w:val="348A399E"/>
    <w:rsid w:val="348B1ECA"/>
    <w:rsid w:val="3497669A"/>
    <w:rsid w:val="3499343D"/>
    <w:rsid w:val="349D50A4"/>
    <w:rsid w:val="34B06283"/>
    <w:rsid w:val="34C1119D"/>
    <w:rsid w:val="34C865A9"/>
    <w:rsid w:val="34CD7260"/>
    <w:rsid w:val="34D11437"/>
    <w:rsid w:val="34E61C43"/>
    <w:rsid w:val="34EB675E"/>
    <w:rsid w:val="34F15AF4"/>
    <w:rsid w:val="34F61244"/>
    <w:rsid w:val="34F8319B"/>
    <w:rsid w:val="35021C06"/>
    <w:rsid w:val="350758A6"/>
    <w:rsid w:val="350B7902"/>
    <w:rsid w:val="351B4D2E"/>
    <w:rsid w:val="351D1328"/>
    <w:rsid w:val="353001DE"/>
    <w:rsid w:val="355D4EB4"/>
    <w:rsid w:val="355E46F2"/>
    <w:rsid w:val="3571761E"/>
    <w:rsid w:val="35724DB5"/>
    <w:rsid w:val="357C5368"/>
    <w:rsid w:val="358266D6"/>
    <w:rsid w:val="358A003E"/>
    <w:rsid w:val="358A7E4A"/>
    <w:rsid w:val="3590319C"/>
    <w:rsid w:val="359549F8"/>
    <w:rsid w:val="35971D20"/>
    <w:rsid w:val="35AB2D50"/>
    <w:rsid w:val="35B6379D"/>
    <w:rsid w:val="35BB6E36"/>
    <w:rsid w:val="35C1744D"/>
    <w:rsid w:val="35D1473D"/>
    <w:rsid w:val="35E5309A"/>
    <w:rsid w:val="35F062CC"/>
    <w:rsid w:val="35F46C7A"/>
    <w:rsid w:val="35F92BE5"/>
    <w:rsid w:val="35FE4519"/>
    <w:rsid w:val="36005839"/>
    <w:rsid w:val="36025EBD"/>
    <w:rsid w:val="36034304"/>
    <w:rsid w:val="36037705"/>
    <w:rsid w:val="36055FB1"/>
    <w:rsid w:val="36117151"/>
    <w:rsid w:val="3613233D"/>
    <w:rsid w:val="361718DC"/>
    <w:rsid w:val="361C0438"/>
    <w:rsid w:val="36231CDE"/>
    <w:rsid w:val="362A0BE3"/>
    <w:rsid w:val="362F158B"/>
    <w:rsid w:val="36307120"/>
    <w:rsid w:val="3632125B"/>
    <w:rsid w:val="3640604B"/>
    <w:rsid w:val="36460F99"/>
    <w:rsid w:val="364A4053"/>
    <w:rsid w:val="3652116C"/>
    <w:rsid w:val="365604AD"/>
    <w:rsid w:val="36576CB4"/>
    <w:rsid w:val="365B5E07"/>
    <w:rsid w:val="365E7E57"/>
    <w:rsid w:val="36745119"/>
    <w:rsid w:val="36762B36"/>
    <w:rsid w:val="367F45F6"/>
    <w:rsid w:val="369046A2"/>
    <w:rsid w:val="36AA39B8"/>
    <w:rsid w:val="36BB3224"/>
    <w:rsid w:val="36C01E29"/>
    <w:rsid w:val="36C572E8"/>
    <w:rsid w:val="36C65BC2"/>
    <w:rsid w:val="36C821A4"/>
    <w:rsid w:val="36D37903"/>
    <w:rsid w:val="36D53395"/>
    <w:rsid w:val="36E20F2C"/>
    <w:rsid w:val="36FB3F3F"/>
    <w:rsid w:val="36FC390F"/>
    <w:rsid w:val="36FD2CC6"/>
    <w:rsid w:val="37287347"/>
    <w:rsid w:val="37444DCC"/>
    <w:rsid w:val="37445638"/>
    <w:rsid w:val="37477D39"/>
    <w:rsid w:val="374F7D17"/>
    <w:rsid w:val="376C0110"/>
    <w:rsid w:val="377D6A97"/>
    <w:rsid w:val="37895588"/>
    <w:rsid w:val="37903153"/>
    <w:rsid w:val="3797430F"/>
    <w:rsid w:val="37AA0461"/>
    <w:rsid w:val="37AC1E95"/>
    <w:rsid w:val="37D83505"/>
    <w:rsid w:val="37E723B2"/>
    <w:rsid w:val="37F432BD"/>
    <w:rsid w:val="38043EED"/>
    <w:rsid w:val="3805356E"/>
    <w:rsid w:val="38063D67"/>
    <w:rsid w:val="381758DA"/>
    <w:rsid w:val="38204B23"/>
    <w:rsid w:val="382C16CF"/>
    <w:rsid w:val="38347A65"/>
    <w:rsid w:val="384235D5"/>
    <w:rsid w:val="386E71F2"/>
    <w:rsid w:val="386F5C43"/>
    <w:rsid w:val="38713816"/>
    <w:rsid w:val="38833DC6"/>
    <w:rsid w:val="388B0AD2"/>
    <w:rsid w:val="38964FE5"/>
    <w:rsid w:val="38A576C2"/>
    <w:rsid w:val="38B63AF0"/>
    <w:rsid w:val="38BA7F54"/>
    <w:rsid w:val="38BF11EA"/>
    <w:rsid w:val="38DE06EF"/>
    <w:rsid w:val="38ED2171"/>
    <w:rsid w:val="390E35A5"/>
    <w:rsid w:val="39143922"/>
    <w:rsid w:val="39226A03"/>
    <w:rsid w:val="39232A3E"/>
    <w:rsid w:val="39374B6F"/>
    <w:rsid w:val="39427EA1"/>
    <w:rsid w:val="394F0E83"/>
    <w:rsid w:val="394F42B0"/>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EB2094"/>
    <w:rsid w:val="39F6509B"/>
    <w:rsid w:val="39F65935"/>
    <w:rsid w:val="3A017ABA"/>
    <w:rsid w:val="3A040E6B"/>
    <w:rsid w:val="3A0D0288"/>
    <w:rsid w:val="3A0F5152"/>
    <w:rsid w:val="3A150B85"/>
    <w:rsid w:val="3A373871"/>
    <w:rsid w:val="3A397C14"/>
    <w:rsid w:val="3A3B0FFA"/>
    <w:rsid w:val="3A4B78AC"/>
    <w:rsid w:val="3A507D9B"/>
    <w:rsid w:val="3A5F7E54"/>
    <w:rsid w:val="3A6E0294"/>
    <w:rsid w:val="3A726254"/>
    <w:rsid w:val="3A984876"/>
    <w:rsid w:val="3A9C6634"/>
    <w:rsid w:val="3AA07642"/>
    <w:rsid w:val="3AA76D5A"/>
    <w:rsid w:val="3AB10060"/>
    <w:rsid w:val="3AB30A16"/>
    <w:rsid w:val="3AB94263"/>
    <w:rsid w:val="3ABC68CE"/>
    <w:rsid w:val="3AC40953"/>
    <w:rsid w:val="3AC557A5"/>
    <w:rsid w:val="3AC5737A"/>
    <w:rsid w:val="3AC60AFD"/>
    <w:rsid w:val="3ACA55E4"/>
    <w:rsid w:val="3ADC2CA1"/>
    <w:rsid w:val="3ADC5492"/>
    <w:rsid w:val="3AE164A0"/>
    <w:rsid w:val="3AE17183"/>
    <w:rsid w:val="3AEA41B5"/>
    <w:rsid w:val="3AF51283"/>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D1150"/>
    <w:rsid w:val="3BB32DE6"/>
    <w:rsid w:val="3BB836DA"/>
    <w:rsid w:val="3BD7743D"/>
    <w:rsid w:val="3BDD14DC"/>
    <w:rsid w:val="3BE83D42"/>
    <w:rsid w:val="3BED2ADE"/>
    <w:rsid w:val="3BF35437"/>
    <w:rsid w:val="3BF36FAF"/>
    <w:rsid w:val="3BFF1F8D"/>
    <w:rsid w:val="3C060596"/>
    <w:rsid w:val="3C2150A5"/>
    <w:rsid w:val="3C2755D1"/>
    <w:rsid w:val="3C487974"/>
    <w:rsid w:val="3C4B08F9"/>
    <w:rsid w:val="3C571098"/>
    <w:rsid w:val="3C5A11D9"/>
    <w:rsid w:val="3C5E5735"/>
    <w:rsid w:val="3C662985"/>
    <w:rsid w:val="3C666F24"/>
    <w:rsid w:val="3C83204F"/>
    <w:rsid w:val="3C8A428B"/>
    <w:rsid w:val="3C8C0692"/>
    <w:rsid w:val="3C8F6FC0"/>
    <w:rsid w:val="3C90080C"/>
    <w:rsid w:val="3C956BAB"/>
    <w:rsid w:val="3C9654F5"/>
    <w:rsid w:val="3CA20047"/>
    <w:rsid w:val="3CA21308"/>
    <w:rsid w:val="3CBC2BD6"/>
    <w:rsid w:val="3CD84C49"/>
    <w:rsid w:val="3CDE6EA0"/>
    <w:rsid w:val="3CE11447"/>
    <w:rsid w:val="3CE70777"/>
    <w:rsid w:val="3CE83F0C"/>
    <w:rsid w:val="3CF67A92"/>
    <w:rsid w:val="3CF81D16"/>
    <w:rsid w:val="3D0474A1"/>
    <w:rsid w:val="3D062135"/>
    <w:rsid w:val="3D1851CC"/>
    <w:rsid w:val="3D19175C"/>
    <w:rsid w:val="3D1A3F01"/>
    <w:rsid w:val="3D200CE1"/>
    <w:rsid w:val="3D286FE2"/>
    <w:rsid w:val="3D3C59BB"/>
    <w:rsid w:val="3D4C3721"/>
    <w:rsid w:val="3D527E27"/>
    <w:rsid w:val="3D640624"/>
    <w:rsid w:val="3D670293"/>
    <w:rsid w:val="3D6A3662"/>
    <w:rsid w:val="3D750A34"/>
    <w:rsid w:val="3D7B3F2F"/>
    <w:rsid w:val="3D7C7C4C"/>
    <w:rsid w:val="3D875B21"/>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315296"/>
    <w:rsid w:val="3E326D31"/>
    <w:rsid w:val="3E390B00"/>
    <w:rsid w:val="3E417939"/>
    <w:rsid w:val="3E5A1D69"/>
    <w:rsid w:val="3E6667EB"/>
    <w:rsid w:val="3E69443E"/>
    <w:rsid w:val="3E6C00F0"/>
    <w:rsid w:val="3E7907B6"/>
    <w:rsid w:val="3E856F1F"/>
    <w:rsid w:val="3E86253C"/>
    <w:rsid w:val="3E9F2596"/>
    <w:rsid w:val="3EAA35E9"/>
    <w:rsid w:val="3EAC0CF6"/>
    <w:rsid w:val="3EAC1701"/>
    <w:rsid w:val="3EAE039F"/>
    <w:rsid w:val="3EB214E7"/>
    <w:rsid w:val="3EB37A24"/>
    <w:rsid w:val="3EBF2B32"/>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26D04"/>
    <w:rsid w:val="3F663A80"/>
    <w:rsid w:val="3F8223AD"/>
    <w:rsid w:val="3F8E0A56"/>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720BA9"/>
    <w:rsid w:val="407F0990"/>
    <w:rsid w:val="40835C11"/>
    <w:rsid w:val="408737F6"/>
    <w:rsid w:val="40877969"/>
    <w:rsid w:val="408F05F9"/>
    <w:rsid w:val="40955D0D"/>
    <w:rsid w:val="40AC2BE2"/>
    <w:rsid w:val="40BA098F"/>
    <w:rsid w:val="40BD7220"/>
    <w:rsid w:val="40C810BD"/>
    <w:rsid w:val="40D672B2"/>
    <w:rsid w:val="40D90725"/>
    <w:rsid w:val="40E41E34"/>
    <w:rsid w:val="40F3031D"/>
    <w:rsid w:val="41073874"/>
    <w:rsid w:val="410B78E5"/>
    <w:rsid w:val="410E7CFB"/>
    <w:rsid w:val="41115E7E"/>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74B99"/>
    <w:rsid w:val="41C8474B"/>
    <w:rsid w:val="41D221CA"/>
    <w:rsid w:val="41DD62D4"/>
    <w:rsid w:val="41E64CFC"/>
    <w:rsid w:val="42092146"/>
    <w:rsid w:val="420C52B4"/>
    <w:rsid w:val="42104156"/>
    <w:rsid w:val="4218789D"/>
    <w:rsid w:val="421D673C"/>
    <w:rsid w:val="42201C89"/>
    <w:rsid w:val="4221770A"/>
    <w:rsid w:val="42415F57"/>
    <w:rsid w:val="4242449F"/>
    <w:rsid w:val="424A2FFC"/>
    <w:rsid w:val="42505873"/>
    <w:rsid w:val="4254350E"/>
    <w:rsid w:val="4259758B"/>
    <w:rsid w:val="4259764F"/>
    <w:rsid w:val="425E5ACE"/>
    <w:rsid w:val="425E756F"/>
    <w:rsid w:val="42604F5E"/>
    <w:rsid w:val="426F67DF"/>
    <w:rsid w:val="42744F96"/>
    <w:rsid w:val="42780119"/>
    <w:rsid w:val="4279255D"/>
    <w:rsid w:val="42932D81"/>
    <w:rsid w:val="4294730B"/>
    <w:rsid w:val="42B4538D"/>
    <w:rsid w:val="42BB46A4"/>
    <w:rsid w:val="42BC1934"/>
    <w:rsid w:val="42BD06BC"/>
    <w:rsid w:val="42BE4C36"/>
    <w:rsid w:val="42C46391"/>
    <w:rsid w:val="42C83F4B"/>
    <w:rsid w:val="42E05D08"/>
    <w:rsid w:val="42E71A52"/>
    <w:rsid w:val="42E93AB6"/>
    <w:rsid w:val="42EE578E"/>
    <w:rsid w:val="43087A08"/>
    <w:rsid w:val="430F3EC6"/>
    <w:rsid w:val="43331C1A"/>
    <w:rsid w:val="43362FA2"/>
    <w:rsid w:val="43450FAC"/>
    <w:rsid w:val="434F5B7A"/>
    <w:rsid w:val="4351587E"/>
    <w:rsid w:val="43551374"/>
    <w:rsid w:val="43594799"/>
    <w:rsid w:val="435F1388"/>
    <w:rsid w:val="43710154"/>
    <w:rsid w:val="437B58C1"/>
    <w:rsid w:val="4380094B"/>
    <w:rsid w:val="43850656"/>
    <w:rsid w:val="438C5B2D"/>
    <w:rsid w:val="43A324A6"/>
    <w:rsid w:val="43A405E0"/>
    <w:rsid w:val="43A75C5C"/>
    <w:rsid w:val="43B05977"/>
    <w:rsid w:val="43B44B65"/>
    <w:rsid w:val="43B9111D"/>
    <w:rsid w:val="43C01DEA"/>
    <w:rsid w:val="43CF1ADF"/>
    <w:rsid w:val="43D66905"/>
    <w:rsid w:val="43EC1229"/>
    <w:rsid w:val="440A1F72"/>
    <w:rsid w:val="441B6501"/>
    <w:rsid w:val="441F4D86"/>
    <w:rsid w:val="44257E34"/>
    <w:rsid w:val="442A5992"/>
    <w:rsid w:val="442B3D53"/>
    <w:rsid w:val="4431076F"/>
    <w:rsid w:val="444235C1"/>
    <w:rsid w:val="44465DC0"/>
    <w:rsid w:val="44493AD7"/>
    <w:rsid w:val="44515C63"/>
    <w:rsid w:val="445D28B8"/>
    <w:rsid w:val="44642A63"/>
    <w:rsid w:val="44703DBD"/>
    <w:rsid w:val="447446DC"/>
    <w:rsid w:val="44777B41"/>
    <w:rsid w:val="44801D9B"/>
    <w:rsid w:val="44986F84"/>
    <w:rsid w:val="44A423C7"/>
    <w:rsid w:val="44A6072E"/>
    <w:rsid w:val="44A73C06"/>
    <w:rsid w:val="44AA564B"/>
    <w:rsid w:val="44D27F43"/>
    <w:rsid w:val="44D73661"/>
    <w:rsid w:val="44DA57C5"/>
    <w:rsid w:val="44DC7BC3"/>
    <w:rsid w:val="44DD6689"/>
    <w:rsid w:val="44E0270F"/>
    <w:rsid w:val="44E05AE2"/>
    <w:rsid w:val="44E40D7B"/>
    <w:rsid w:val="44F53D30"/>
    <w:rsid w:val="44FE0DBC"/>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9679C"/>
    <w:rsid w:val="45D71050"/>
    <w:rsid w:val="45E52D40"/>
    <w:rsid w:val="45E9212E"/>
    <w:rsid w:val="45F10836"/>
    <w:rsid w:val="45F74E39"/>
    <w:rsid w:val="45FD7DF5"/>
    <w:rsid w:val="45FF3C58"/>
    <w:rsid w:val="46033325"/>
    <w:rsid w:val="46067B5A"/>
    <w:rsid w:val="46120C85"/>
    <w:rsid w:val="461330AA"/>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90546E"/>
    <w:rsid w:val="479B2D0A"/>
    <w:rsid w:val="47A57537"/>
    <w:rsid w:val="47A7144B"/>
    <w:rsid w:val="47A85DB0"/>
    <w:rsid w:val="47AD2C24"/>
    <w:rsid w:val="47B36F08"/>
    <w:rsid w:val="47B60A5D"/>
    <w:rsid w:val="47C71D71"/>
    <w:rsid w:val="47C84AD3"/>
    <w:rsid w:val="47DC053A"/>
    <w:rsid w:val="47E40B80"/>
    <w:rsid w:val="47EC5F8C"/>
    <w:rsid w:val="47F82A4A"/>
    <w:rsid w:val="4808590A"/>
    <w:rsid w:val="480A6878"/>
    <w:rsid w:val="480B2BB8"/>
    <w:rsid w:val="480F2CC9"/>
    <w:rsid w:val="481C6A9F"/>
    <w:rsid w:val="482B1A6D"/>
    <w:rsid w:val="48366735"/>
    <w:rsid w:val="483E022D"/>
    <w:rsid w:val="48425324"/>
    <w:rsid w:val="48491D2C"/>
    <w:rsid w:val="484C2B2E"/>
    <w:rsid w:val="48511F36"/>
    <w:rsid w:val="485460CC"/>
    <w:rsid w:val="4854729D"/>
    <w:rsid w:val="48563341"/>
    <w:rsid w:val="48650CAC"/>
    <w:rsid w:val="48686B3E"/>
    <w:rsid w:val="48704848"/>
    <w:rsid w:val="487F6800"/>
    <w:rsid w:val="48821DF9"/>
    <w:rsid w:val="488854E3"/>
    <w:rsid w:val="48934C28"/>
    <w:rsid w:val="48AB67D9"/>
    <w:rsid w:val="48B37310"/>
    <w:rsid w:val="48BD520B"/>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C35B92"/>
    <w:rsid w:val="49D5251D"/>
    <w:rsid w:val="49DC24F7"/>
    <w:rsid w:val="49E263FC"/>
    <w:rsid w:val="49E96B79"/>
    <w:rsid w:val="49F7016B"/>
    <w:rsid w:val="4A080885"/>
    <w:rsid w:val="4A0F0748"/>
    <w:rsid w:val="4A2B7107"/>
    <w:rsid w:val="4A2D64B1"/>
    <w:rsid w:val="4A343B83"/>
    <w:rsid w:val="4A542F03"/>
    <w:rsid w:val="4A5D2770"/>
    <w:rsid w:val="4A627093"/>
    <w:rsid w:val="4A6432EA"/>
    <w:rsid w:val="4A6B1A5C"/>
    <w:rsid w:val="4A757873"/>
    <w:rsid w:val="4A873352"/>
    <w:rsid w:val="4A884FC8"/>
    <w:rsid w:val="4A8F38FA"/>
    <w:rsid w:val="4A905A29"/>
    <w:rsid w:val="4A91762E"/>
    <w:rsid w:val="4A9713EE"/>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4754A"/>
    <w:rsid w:val="4AF71ABC"/>
    <w:rsid w:val="4B094048"/>
    <w:rsid w:val="4B182EDE"/>
    <w:rsid w:val="4B202F51"/>
    <w:rsid w:val="4B3702C3"/>
    <w:rsid w:val="4B3D270A"/>
    <w:rsid w:val="4B3D6C37"/>
    <w:rsid w:val="4B3F0159"/>
    <w:rsid w:val="4B5C11CB"/>
    <w:rsid w:val="4B657A41"/>
    <w:rsid w:val="4B70250A"/>
    <w:rsid w:val="4B783668"/>
    <w:rsid w:val="4B815B7A"/>
    <w:rsid w:val="4B886F88"/>
    <w:rsid w:val="4B8B2FFB"/>
    <w:rsid w:val="4B91218E"/>
    <w:rsid w:val="4B930083"/>
    <w:rsid w:val="4BA01EE1"/>
    <w:rsid w:val="4BAE1984"/>
    <w:rsid w:val="4BCE1D76"/>
    <w:rsid w:val="4BD15178"/>
    <w:rsid w:val="4BD40919"/>
    <w:rsid w:val="4BD770F1"/>
    <w:rsid w:val="4BDC3C83"/>
    <w:rsid w:val="4BEB0E5B"/>
    <w:rsid w:val="4BEB429E"/>
    <w:rsid w:val="4BEF18F5"/>
    <w:rsid w:val="4BEF2CA4"/>
    <w:rsid w:val="4BFE6D71"/>
    <w:rsid w:val="4C053F5B"/>
    <w:rsid w:val="4C0C46A6"/>
    <w:rsid w:val="4C0D2254"/>
    <w:rsid w:val="4C1E50F0"/>
    <w:rsid w:val="4C1E7F70"/>
    <w:rsid w:val="4C252C19"/>
    <w:rsid w:val="4C346422"/>
    <w:rsid w:val="4C39104B"/>
    <w:rsid w:val="4C3921A4"/>
    <w:rsid w:val="4C413272"/>
    <w:rsid w:val="4C4423AE"/>
    <w:rsid w:val="4C480DB4"/>
    <w:rsid w:val="4C4D3BFD"/>
    <w:rsid w:val="4C6705EB"/>
    <w:rsid w:val="4C812335"/>
    <w:rsid w:val="4C881E49"/>
    <w:rsid w:val="4C893D9C"/>
    <w:rsid w:val="4C8B4E8E"/>
    <w:rsid w:val="4C8D1D88"/>
    <w:rsid w:val="4C950F8C"/>
    <w:rsid w:val="4C972208"/>
    <w:rsid w:val="4C9F1F4A"/>
    <w:rsid w:val="4CB074DF"/>
    <w:rsid w:val="4CB466C5"/>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407F5F"/>
    <w:rsid w:val="4D480659"/>
    <w:rsid w:val="4D4F49D2"/>
    <w:rsid w:val="4D551B04"/>
    <w:rsid w:val="4D5E1EC2"/>
    <w:rsid w:val="4D75740F"/>
    <w:rsid w:val="4D786A45"/>
    <w:rsid w:val="4D7B242B"/>
    <w:rsid w:val="4D7B3ED0"/>
    <w:rsid w:val="4D7C1024"/>
    <w:rsid w:val="4D7E1F21"/>
    <w:rsid w:val="4D8E5F61"/>
    <w:rsid w:val="4D9C54E4"/>
    <w:rsid w:val="4DAA468F"/>
    <w:rsid w:val="4DB51F05"/>
    <w:rsid w:val="4DB878FE"/>
    <w:rsid w:val="4DC460AE"/>
    <w:rsid w:val="4DC5673B"/>
    <w:rsid w:val="4DD16E67"/>
    <w:rsid w:val="4DE54007"/>
    <w:rsid w:val="4DEF3A1E"/>
    <w:rsid w:val="4DF61D74"/>
    <w:rsid w:val="4DFD61AF"/>
    <w:rsid w:val="4E100981"/>
    <w:rsid w:val="4E171FFF"/>
    <w:rsid w:val="4E1C0BD7"/>
    <w:rsid w:val="4E1C6E78"/>
    <w:rsid w:val="4E1F5137"/>
    <w:rsid w:val="4E2F35BA"/>
    <w:rsid w:val="4E2F6E15"/>
    <w:rsid w:val="4E3A7249"/>
    <w:rsid w:val="4E3A72E2"/>
    <w:rsid w:val="4E4446C6"/>
    <w:rsid w:val="4E4908C8"/>
    <w:rsid w:val="4E50419E"/>
    <w:rsid w:val="4E554770"/>
    <w:rsid w:val="4E5E0C4F"/>
    <w:rsid w:val="4E614CA7"/>
    <w:rsid w:val="4E691332"/>
    <w:rsid w:val="4E801CD9"/>
    <w:rsid w:val="4E882872"/>
    <w:rsid w:val="4E8B1E80"/>
    <w:rsid w:val="4E9B3E57"/>
    <w:rsid w:val="4EA0329B"/>
    <w:rsid w:val="4EA44A33"/>
    <w:rsid w:val="4EAA511D"/>
    <w:rsid w:val="4EB86866"/>
    <w:rsid w:val="4EB86BA1"/>
    <w:rsid w:val="4EBB4598"/>
    <w:rsid w:val="4EBD69CA"/>
    <w:rsid w:val="4EC26842"/>
    <w:rsid w:val="4ECA27C8"/>
    <w:rsid w:val="4ECF0DD2"/>
    <w:rsid w:val="4ED07EA4"/>
    <w:rsid w:val="4EE02FF7"/>
    <w:rsid w:val="4F0679B3"/>
    <w:rsid w:val="4F090F85"/>
    <w:rsid w:val="4F1A0D0A"/>
    <w:rsid w:val="4F242A83"/>
    <w:rsid w:val="4F2538AD"/>
    <w:rsid w:val="4F2A63B6"/>
    <w:rsid w:val="4F3A498A"/>
    <w:rsid w:val="4F44229B"/>
    <w:rsid w:val="4F4D3CC7"/>
    <w:rsid w:val="4F542636"/>
    <w:rsid w:val="4F555A42"/>
    <w:rsid w:val="4F557D6B"/>
    <w:rsid w:val="4F564A5B"/>
    <w:rsid w:val="4F6D5812"/>
    <w:rsid w:val="4F715050"/>
    <w:rsid w:val="4F7A5816"/>
    <w:rsid w:val="4F7A7FCB"/>
    <w:rsid w:val="4F7D72C0"/>
    <w:rsid w:val="4F8106F9"/>
    <w:rsid w:val="4F875E6A"/>
    <w:rsid w:val="4F94550A"/>
    <w:rsid w:val="4F956BAC"/>
    <w:rsid w:val="4F9E6C33"/>
    <w:rsid w:val="4FA04A56"/>
    <w:rsid w:val="4FA4258C"/>
    <w:rsid w:val="4FA55D76"/>
    <w:rsid w:val="4FAA5F43"/>
    <w:rsid w:val="4FB62085"/>
    <w:rsid w:val="4FB85468"/>
    <w:rsid w:val="4FC134A4"/>
    <w:rsid w:val="4FC410A0"/>
    <w:rsid w:val="4FC41FFF"/>
    <w:rsid w:val="4FC575EB"/>
    <w:rsid w:val="4FC969CD"/>
    <w:rsid w:val="4FCE73FC"/>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F1401"/>
    <w:rsid w:val="507348C2"/>
    <w:rsid w:val="507375BC"/>
    <w:rsid w:val="507B01FB"/>
    <w:rsid w:val="507F1E51"/>
    <w:rsid w:val="507F34B9"/>
    <w:rsid w:val="508F2260"/>
    <w:rsid w:val="50922DDA"/>
    <w:rsid w:val="50953DF8"/>
    <w:rsid w:val="50AB1A18"/>
    <w:rsid w:val="50B47933"/>
    <w:rsid w:val="50B8067E"/>
    <w:rsid w:val="50BB49E7"/>
    <w:rsid w:val="50BC7A9C"/>
    <w:rsid w:val="50C54E04"/>
    <w:rsid w:val="50D36797"/>
    <w:rsid w:val="50D80FBD"/>
    <w:rsid w:val="50DA6635"/>
    <w:rsid w:val="50E52841"/>
    <w:rsid w:val="50F15FDA"/>
    <w:rsid w:val="50F73B7A"/>
    <w:rsid w:val="51037064"/>
    <w:rsid w:val="51055065"/>
    <w:rsid w:val="51157F16"/>
    <w:rsid w:val="512A3F5E"/>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FA093B"/>
    <w:rsid w:val="51FA1B26"/>
    <w:rsid w:val="52085A22"/>
    <w:rsid w:val="520D7E24"/>
    <w:rsid w:val="520E31B8"/>
    <w:rsid w:val="52251EEE"/>
    <w:rsid w:val="52280730"/>
    <w:rsid w:val="522A764A"/>
    <w:rsid w:val="523B7B7E"/>
    <w:rsid w:val="52493EAF"/>
    <w:rsid w:val="524D4297"/>
    <w:rsid w:val="525A1FA9"/>
    <w:rsid w:val="5266450B"/>
    <w:rsid w:val="526B5400"/>
    <w:rsid w:val="529B71F5"/>
    <w:rsid w:val="529D25FB"/>
    <w:rsid w:val="52A3429C"/>
    <w:rsid w:val="52A45397"/>
    <w:rsid w:val="52AF6799"/>
    <w:rsid w:val="52B10DD9"/>
    <w:rsid w:val="52CE1F68"/>
    <w:rsid w:val="52D55B69"/>
    <w:rsid w:val="52EE029E"/>
    <w:rsid w:val="52F20D99"/>
    <w:rsid w:val="52F723A5"/>
    <w:rsid w:val="5304555A"/>
    <w:rsid w:val="530F5183"/>
    <w:rsid w:val="5311143C"/>
    <w:rsid w:val="53140319"/>
    <w:rsid w:val="531B0BB1"/>
    <w:rsid w:val="532457D6"/>
    <w:rsid w:val="532634E5"/>
    <w:rsid w:val="532771FA"/>
    <w:rsid w:val="53397419"/>
    <w:rsid w:val="53450F8C"/>
    <w:rsid w:val="534F4564"/>
    <w:rsid w:val="53502CFB"/>
    <w:rsid w:val="535B2381"/>
    <w:rsid w:val="5362334E"/>
    <w:rsid w:val="53623D58"/>
    <w:rsid w:val="537118E2"/>
    <w:rsid w:val="537304F7"/>
    <w:rsid w:val="5373310E"/>
    <w:rsid w:val="53836593"/>
    <w:rsid w:val="538524CF"/>
    <w:rsid w:val="53925529"/>
    <w:rsid w:val="53974826"/>
    <w:rsid w:val="539D0D6F"/>
    <w:rsid w:val="539D6795"/>
    <w:rsid w:val="539F6DBD"/>
    <w:rsid w:val="53A24329"/>
    <w:rsid w:val="53DE5962"/>
    <w:rsid w:val="53E54D46"/>
    <w:rsid w:val="53FA6042"/>
    <w:rsid w:val="540074F6"/>
    <w:rsid w:val="540D0E61"/>
    <w:rsid w:val="54104754"/>
    <w:rsid w:val="541C3C0B"/>
    <w:rsid w:val="54227CFE"/>
    <w:rsid w:val="54261B4F"/>
    <w:rsid w:val="542B58D4"/>
    <w:rsid w:val="542C7055"/>
    <w:rsid w:val="54324B0A"/>
    <w:rsid w:val="543F2D91"/>
    <w:rsid w:val="5442560B"/>
    <w:rsid w:val="54460A71"/>
    <w:rsid w:val="54505399"/>
    <w:rsid w:val="545728A2"/>
    <w:rsid w:val="54593845"/>
    <w:rsid w:val="547748A2"/>
    <w:rsid w:val="547B2970"/>
    <w:rsid w:val="547D09A9"/>
    <w:rsid w:val="54866470"/>
    <w:rsid w:val="548F08CC"/>
    <w:rsid w:val="549410CA"/>
    <w:rsid w:val="54A156E6"/>
    <w:rsid w:val="54A54749"/>
    <w:rsid w:val="54C73437"/>
    <w:rsid w:val="54C97CDC"/>
    <w:rsid w:val="54D25EB5"/>
    <w:rsid w:val="54D263B2"/>
    <w:rsid w:val="54D74990"/>
    <w:rsid w:val="54DD7AC9"/>
    <w:rsid w:val="54F03FF7"/>
    <w:rsid w:val="54F13C94"/>
    <w:rsid w:val="54F16F58"/>
    <w:rsid w:val="5510379B"/>
    <w:rsid w:val="55161D59"/>
    <w:rsid w:val="552D77D6"/>
    <w:rsid w:val="553028D2"/>
    <w:rsid w:val="55465E74"/>
    <w:rsid w:val="5547536F"/>
    <w:rsid w:val="55587413"/>
    <w:rsid w:val="5559327D"/>
    <w:rsid w:val="555C427D"/>
    <w:rsid w:val="55657ECC"/>
    <w:rsid w:val="556740A1"/>
    <w:rsid w:val="557D146D"/>
    <w:rsid w:val="55923E24"/>
    <w:rsid w:val="559C7C68"/>
    <w:rsid w:val="55A41A91"/>
    <w:rsid w:val="55A9666A"/>
    <w:rsid w:val="55AB7A24"/>
    <w:rsid w:val="55B97520"/>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B75C49"/>
    <w:rsid w:val="56BD0289"/>
    <w:rsid w:val="56D015C8"/>
    <w:rsid w:val="56DA7BE8"/>
    <w:rsid w:val="56DB7CFC"/>
    <w:rsid w:val="56E00A6C"/>
    <w:rsid w:val="56F65B31"/>
    <w:rsid w:val="56FF0A48"/>
    <w:rsid w:val="57041909"/>
    <w:rsid w:val="570E7E43"/>
    <w:rsid w:val="572525CA"/>
    <w:rsid w:val="57377544"/>
    <w:rsid w:val="573D35DB"/>
    <w:rsid w:val="573F0DE7"/>
    <w:rsid w:val="57404D35"/>
    <w:rsid w:val="57452F9B"/>
    <w:rsid w:val="57461FF3"/>
    <w:rsid w:val="57524C4F"/>
    <w:rsid w:val="57607E88"/>
    <w:rsid w:val="5779221D"/>
    <w:rsid w:val="5780229B"/>
    <w:rsid w:val="57851FA6"/>
    <w:rsid w:val="57885129"/>
    <w:rsid w:val="57996913"/>
    <w:rsid w:val="57A84DE0"/>
    <w:rsid w:val="57A87BDC"/>
    <w:rsid w:val="57AE489D"/>
    <w:rsid w:val="57BA435B"/>
    <w:rsid w:val="57C040B5"/>
    <w:rsid w:val="57C97313"/>
    <w:rsid w:val="57D72ECC"/>
    <w:rsid w:val="57EC3BC5"/>
    <w:rsid w:val="57F170D7"/>
    <w:rsid w:val="57F76A6F"/>
    <w:rsid w:val="57F8565B"/>
    <w:rsid w:val="57FA5EC9"/>
    <w:rsid w:val="57FD6475"/>
    <w:rsid w:val="58021570"/>
    <w:rsid w:val="580F2173"/>
    <w:rsid w:val="5813728B"/>
    <w:rsid w:val="58172247"/>
    <w:rsid w:val="581A4FD7"/>
    <w:rsid w:val="58235601"/>
    <w:rsid w:val="583414A7"/>
    <w:rsid w:val="5840262B"/>
    <w:rsid w:val="584D5702"/>
    <w:rsid w:val="58582ACD"/>
    <w:rsid w:val="585B2F03"/>
    <w:rsid w:val="585D302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90F0485"/>
    <w:rsid w:val="59161438"/>
    <w:rsid w:val="59161B96"/>
    <w:rsid w:val="592B384C"/>
    <w:rsid w:val="592D7127"/>
    <w:rsid w:val="59344A9E"/>
    <w:rsid w:val="59353454"/>
    <w:rsid w:val="59462FFB"/>
    <w:rsid w:val="59490E71"/>
    <w:rsid w:val="594B3B45"/>
    <w:rsid w:val="594F124D"/>
    <w:rsid w:val="59540F1D"/>
    <w:rsid w:val="59563702"/>
    <w:rsid w:val="595D32C3"/>
    <w:rsid w:val="595E1386"/>
    <w:rsid w:val="59607919"/>
    <w:rsid w:val="59626AA1"/>
    <w:rsid w:val="596859EB"/>
    <w:rsid w:val="597002DC"/>
    <w:rsid w:val="5970462D"/>
    <w:rsid w:val="59760CC7"/>
    <w:rsid w:val="598024E2"/>
    <w:rsid w:val="598F52F9"/>
    <w:rsid w:val="598F66D7"/>
    <w:rsid w:val="59AF2530"/>
    <w:rsid w:val="59D142D0"/>
    <w:rsid w:val="59D561B8"/>
    <w:rsid w:val="59D73B1D"/>
    <w:rsid w:val="59E85DFE"/>
    <w:rsid w:val="5A160FDB"/>
    <w:rsid w:val="5A1A6DC5"/>
    <w:rsid w:val="5A223BD0"/>
    <w:rsid w:val="5A301B84"/>
    <w:rsid w:val="5A312D8C"/>
    <w:rsid w:val="5A3B198D"/>
    <w:rsid w:val="5A440825"/>
    <w:rsid w:val="5A59603F"/>
    <w:rsid w:val="5A73640F"/>
    <w:rsid w:val="5A781F79"/>
    <w:rsid w:val="5A78541E"/>
    <w:rsid w:val="5A82030A"/>
    <w:rsid w:val="5AA67FAC"/>
    <w:rsid w:val="5AA721BA"/>
    <w:rsid w:val="5AB81256"/>
    <w:rsid w:val="5ADC77A1"/>
    <w:rsid w:val="5ADD771F"/>
    <w:rsid w:val="5AE2742A"/>
    <w:rsid w:val="5AEB1EF4"/>
    <w:rsid w:val="5AF27B3D"/>
    <w:rsid w:val="5B0A3A0F"/>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84F69"/>
    <w:rsid w:val="5C1916A5"/>
    <w:rsid w:val="5C1961A7"/>
    <w:rsid w:val="5C2505F0"/>
    <w:rsid w:val="5C263BE3"/>
    <w:rsid w:val="5C3226B3"/>
    <w:rsid w:val="5C34733C"/>
    <w:rsid w:val="5C3B2CC7"/>
    <w:rsid w:val="5C4B687D"/>
    <w:rsid w:val="5C505C44"/>
    <w:rsid w:val="5C6022DC"/>
    <w:rsid w:val="5C7E6E4B"/>
    <w:rsid w:val="5C8D7E9B"/>
    <w:rsid w:val="5C8F157D"/>
    <w:rsid w:val="5C9241FC"/>
    <w:rsid w:val="5CA04CE4"/>
    <w:rsid w:val="5CA23B87"/>
    <w:rsid w:val="5CB67906"/>
    <w:rsid w:val="5CB92EF3"/>
    <w:rsid w:val="5CBC53A1"/>
    <w:rsid w:val="5CC07D19"/>
    <w:rsid w:val="5CC47F35"/>
    <w:rsid w:val="5CC91849"/>
    <w:rsid w:val="5CD41DD8"/>
    <w:rsid w:val="5CDF24D1"/>
    <w:rsid w:val="5CE00560"/>
    <w:rsid w:val="5CE21763"/>
    <w:rsid w:val="5CF40796"/>
    <w:rsid w:val="5CF61950"/>
    <w:rsid w:val="5D053E5C"/>
    <w:rsid w:val="5D18131E"/>
    <w:rsid w:val="5D1D0195"/>
    <w:rsid w:val="5D1E2151"/>
    <w:rsid w:val="5D207444"/>
    <w:rsid w:val="5D244FFA"/>
    <w:rsid w:val="5D2C3A4D"/>
    <w:rsid w:val="5D2F6ACB"/>
    <w:rsid w:val="5D34151F"/>
    <w:rsid w:val="5D36754E"/>
    <w:rsid w:val="5D5A57AD"/>
    <w:rsid w:val="5D5C6839"/>
    <w:rsid w:val="5D6564ED"/>
    <w:rsid w:val="5D66266F"/>
    <w:rsid w:val="5D6B2AE7"/>
    <w:rsid w:val="5D6F1470"/>
    <w:rsid w:val="5D741B3B"/>
    <w:rsid w:val="5D7C6E46"/>
    <w:rsid w:val="5D7E1B08"/>
    <w:rsid w:val="5D815B9F"/>
    <w:rsid w:val="5D84417A"/>
    <w:rsid w:val="5D894886"/>
    <w:rsid w:val="5D8C4E0A"/>
    <w:rsid w:val="5D903220"/>
    <w:rsid w:val="5D9A1DE9"/>
    <w:rsid w:val="5D9D70AB"/>
    <w:rsid w:val="5D9E058D"/>
    <w:rsid w:val="5DAC4C7A"/>
    <w:rsid w:val="5DB45C75"/>
    <w:rsid w:val="5DBA6066"/>
    <w:rsid w:val="5DBF6494"/>
    <w:rsid w:val="5DC3004D"/>
    <w:rsid w:val="5DDC5E8E"/>
    <w:rsid w:val="5DF424C3"/>
    <w:rsid w:val="5DF602CC"/>
    <w:rsid w:val="5DF86C27"/>
    <w:rsid w:val="5E074753"/>
    <w:rsid w:val="5E1160F9"/>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2189E"/>
    <w:rsid w:val="5EDF69B5"/>
    <w:rsid w:val="5EE246AF"/>
    <w:rsid w:val="5EEB7DF1"/>
    <w:rsid w:val="5EF41C45"/>
    <w:rsid w:val="5EF9023F"/>
    <w:rsid w:val="5F08241F"/>
    <w:rsid w:val="5F1C2F6F"/>
    <w:rsid w:val="5F1E497A"/>
    <w:rsid w:val="5F246926"/>
    <w:rsid w:val="5F267129"/>
    <w:rsid w:val="5F343EC1"/>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A4A4D"/>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644142"/>
    <w:rsid w:val="60727D04"/>
    <w:rsid w:val="607931F7"/>
    <w:rsid w:val="60850056"/>
    <w:rsid w:val="608F2E78"/>
    <w:rsid w:val="60996106"/>
    <w:rsid w:val="609A4B08"/>
    <w:rsid w:val="60A2791B"/>
    <w:rsid w:val="60A31B19"/>
    <w:rsid w:val="60A84C40"/>
    <w:rsid w:val="60B57885"/>
    <w:rsid w:val="60CB69C1"/>
    <w:rsid w:val="60D16871"/>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5E224C"/>
    <w:rsid w:val="615F521A"/>
    <w:rsid w:val="61604688"/>
    <w:rsid w:val="61637E98"/>
    <w:rsid w:val="61760350"/>
    <w:rsid w:val="617A1B7C"/>
    <w:rsid w:val="618744C4"/>
    <w:rsid w:val="619B0447"/>
    <w:rsid w:val="61C3103F"/>
    <w:rsid w:val="61C7592F"/>
    <w:rsid w:val="61CE3805"/>
    <w:rsid w:val="61DD43D6"/>
    <w:rsid w:val="61E324A5"/>
    <w:rsid w:val="61ED6AAB"/>
    <w:rsid w:val="61F82D65"/>
    <w:rsid w:val="61FA594E"/>
    <w:rsid w:val="62261C95"/>
    <w:rsid w:val="622E40FB"/>
    <w:rsid w:val="62354FD2"/>
    <w:rsid w:val="62523A00"/>
    <w:rsid w:val="62596ED3"/>
    <w:rsid w:val="62661EDB"/>
    <w:rsid w:val="6268703C"/>
    <w:rsid w:val="62716509"/>
    <w:rsid w:val="62807687"/>
    <w:rsid w:val="6282574D"/>
    <w:rsid w:val="629C2C1C"/>
    <w:rsid w:val="629C76D5"/>
    <w:rsid w:val="629F3534"/>
    <w:rsid w:val="629F7C6E"/>
    <w:rsid w:val="62A17EC2"/>
    <w:rsid w:val="62AF55A1"/>
    <w:rsid w:val="62B75D01"/>
    <w:rsid w:val="62C0403A"/>
    <w:rsid w:val="62CA69D0"/>
    <w:rsid w:val="62CE08F9"/>
    <w:rsid w:val="62D73032"/>
    <w:rsid w:val="62F41D03"/>
    <w:rsid w:val="63076D84"/>
    <w:rsid w:val="631E222D"/>
    <w:rsid w:val="632002A5"/>
    <w:rsid w:val="63266B15"/>
    <w:rsid w:val="63276C41"/>
    <w:rsid w:val="632807B9"/>
    <w:rsid w:val="632C2B7A"/>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3FC56DE"/>
    <w:rsid w:val="64213A7A"/>
    <w:rsid w:val="64217E1F"/>
    <w:rsid w:val="643222A1"/>
    <w:rsid w:val="64342605"/>
    <w:rsid w:val="643B4346"/>
    <w:rsid w:val="643D649C"/>
    <w:rsid w:val="64442991"/>
    <w:rsid w:val="64443187"/>
    <w:rsid w:val="64443A2B"/>
    <w:rsid w:val="644D06CE"/>
    <w:rsid w:val="6450165E"/>
    <w:rsid w:val="64502F80"/>
    <w:rsid w:val="64551F0B"/>
    <w:rsid w:val="645551D4"/>
    <w:rsid w:val="64596731"/>
    <w:rsid w:val="645F0570"/>
    <w:rsid w:val="646251A8"/>
    <w:rsid w:val="6463413F"/>
    <w:rsid w:val="647E75B5"/>
    <w:rsid w:val="64954D48"/>
    <w:rsid w:val="6495763A"/>
    <w:rsid w:val="64991719"/>
    <w:rsid w:val="64A15E0B"/>
    <w:rsid w:val="64BA0AB7"/>
    <w:rsid w:val="64C37916"/>
    <w:rsid w:val="64C4329A"/>
    <w:rsid w:val="64D6157E"/>
    <w:rsid w:val="64DE0B89"/>
    <w:rsid w:val="64E056B6"/>
    <w:rsid w:val="64E22B40"/>
    <w:rsid w:val="64F258D0"/>
    <w:rsid w:val="64F6204C"/>
    <w:rsid w:val="6506053C"/>
    <w:rsid w:val="65176CAC"/>
    <w:rsid w:val="651D0391"/>
    <w:rsid w:val="652E1DE4"/>
    <w:rsid w:val="65302F12"/>
    <w:rsid w:val="65322B0A"/>
    <w:rsid w:val="653919EE"/>
    <w:rsid w:val="653B1801"/>
    <w:rsid w:val="653D6BD3"/>
    <w:rsid w:val="653E2785"/>
    <w:rsid w:val="65461043"/>
    <w:rsid w:val="654A6A86"/>
    <w:rsid w:val="654F59C5"/>
    <w:rsid w:val="65616CC3"/>
    <w:rsid w:val="657F7588"/>
    <w:rsid w:val="658276F9"/>
    <w:rsid w:val="658F0577"/>
    <w:rsid w:val="65932B18"/>
    <w:rsid w:val="65AE5912"/>
    <w:rsid w:val="65AF18EF"/>
    <w:rsid w:val="65B15658"/>
    <w:rsid w:val="65B31E66"/>
    <w:rsid w:val="65BC0577"/>
    <w:rsid w:val="65C11760"/>
    <w:rsid w:val="65C93731"/>
    <w:rsid w:val="65D4160A"/>
    <w:rsid w:val="65D63638"/>
    <w:rsid w:val="65F71385"/>
    <w:rsid w:val="65FB65FC"/>
    <w:rsid w:val="660806FB"/>
    <w:rsid w:val="661F366E"/>
    <w:rsid w:val="66276824"/>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60C7B"/>
    <w:rsid w:val="66CB3B46"/>
    <w:rsid w:val="66CD4206"/>
    <w:rsid w:val="66D458F9"/>
    <w:rsid w:val="66D60412"/>
    <w:rsid w:val="66DF5269"/>
    <w:rsid w:val="66E23A0B"/>
    <w:rsid w:val="66F33C28"/>
    <w:rsid w:val="670B371C"/>
    <w:rsid w:val="67185E99"/>
    <w:rsid w:val="671E273D"/>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B04251"/>
    <w:rsid w:val="67B13EAA"/>
    <w:rsid w:val="67C21899"/>
    <w:rsid w:val="67C35F6E"/>
    <w:rsid w:val="67C617B4"/>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72CF4"/>
    <w:rsid w:val="689C7FBA"/>
    <w:rsid w:val="689D3EB3"/>
    <w:rsid w:val="68A01BC7"/>
    <w:rsid w:val="68A718EF"/>
    <w:rsid w:val="68A86127"/>
    <w:rsid w:val="68AC0C4A"/>
    <w:rsid w:val="68AD6480"/>
    <w:rsid w:val="68B34C46"/>
    <w:rsid w:val="68B525FC"/>
    <w:rsid w:val="68BF3935"/>
    <w:rsid w:val="68C877E1"/>
    <w:rsid w:val="68D2021F"/>
    <w:rsid w:val="68FE3869"/>
    <w:rsid w:val="68FE570F"/>
    <w:rsid w:val="68FF1FFD"/>
    <w:rsid w:val="6907129F"/>
    <w:rsid w:val="69122C3C"/>
    <w:rsid w:val="692D249D"/>
    <w:rsid w:val="694612C2"/>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7A44"/>
    <w:rsid w:val="6A003223"/>
    <w:rsid w:val="6A0A1456"/>
    <w:rsid w:val="6A0B4089"/>
    <w:rsid w:val="6A1664B1"/>
    <w:rsid w:val="6A201F56"/>
    <w:rsid w:val="6A257C5C"/>
    <w:rsid w:val="6A2C6EB0"/>
    <w:rsid w:val="6A3131B8"/>
    <w:rsid w:val="6A3B45F1"/>
    <w:rsid w:val="6A421FE5"/>
    <w:rsid w:val="6A4462CD"/>
    <w:rsid w:val="6A4756CA"/>
    <w:rsid w:val="6A4B15F0"/>
    <w:rsid w:val="6A5C730C"/>
    <w:rsid w:val="6A6A32FA"/>
    <w:rsid w:val="6A6B4738"/>
    <w:rsid w:val="6A765B81"/>
    <w:rsid w:val="6A812D4D"/>
    <w:rsid w:val="6A8500AE"/>
    <w:rsid w:val="6A8C3798"/>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307237"/>
    <w:rsid w:val="6B37741A"/>
    <w:rsid w:val="6B397506"/>
    <w:rsid w:val="6B3F6C6C"/>
    <w:rsid w:val="6B457289"/>
    <w:rsid w:val="6B4E599A"/>
    <w:rsid w:val="6B572AB9"/>
    <w:rsid w:val="6B580798"/>
    <w:rsid w:val="6B5A170F"/>
    <w:rsid w:val="6B761510"/>
    <w:rsid w:val="6B7852CF"/>
    <w:rsid w:val="6B7D3DF4"/>
    <w:rsid w:val="6B8270EE"/>
    <w:rsid w:val="6B8A7D7E"/>
    <w:rsid w:val="6B8D7062"/>
    <w:rsid w:val="6BAC25BC"/>
    <w:rsid w:val="6BB26551"/>
    <w:rsid w:val="6BB9116F"/>
    <w:rsid w:val="6BC71DE1"/>
    <w:rsid w:val="6BDB6883"/>
    <w:rsid w:val="6BE33767"/>
    <w:rsid w:val="6BEA5629"/>
    <w:rsid w:val="6BEF1CA0"/>
    <w:rsid w:val="6BF01224"/>
    <w:rsid w:val="6BF22C25"/>
    <w:rsid w:val="6BF57327"/>
    <w:rsid w:val="6BFE44B9"/>
    <w:rsid w:val="6C0618C6"/>
    <w:rsid w:val="6C066F44"/>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5481C"/>
    <w:rsid w:val="6CBC47C5"/>
    <w:rsid w:val="6CBE30F2"/>
    <w:rsid w:val="6CC86331"/>
    <w:rsid w:val="6CCF2613"/>
    <w:rsid w:val="6CD75EBE"/>
    <w:rsid w:val="6CF6647A"/>
    <w:rsid w:val="6CFE1E5E"/>
    <w:rsid w:val="6D0234B2"/>
    <w:rsid w:val="6D0240E7"/>
    <w:rsid w:val="6D10640A"/>
    <w:rsid w:val="6D1B0E0A"/>
    <w:rsid w:val="6D1C490F"/>
    <w:rsid w:val="6D2E042E"/>
    <w:rsid w:val="6D3D3855"/>
    <w:rsid w:val="6D413C64"/>
    <w:rsid w:val="6D436DBE"/>
    <w:rsid w:val="6D481F37"/>
    <w:rsid w:val="6D4D7847"/>
    <w:rsid w:val="6D510223"/>
    <w:rsid w:val="6D54286C"/>
    <w:rsid w:val="6D6A2A96"/>
    <w:rsid w:val="6D6A4A10"/>
    <w:rsid w:val="6D6D3796"/>
    <w:rsid w:val="6D6F471B"/>
    <w:rsid w:val="6D777236"/>
    <w:rsid w:val="6D796209"/>
    <w:rsid w:val="6D876940"/>
    <w:rsid w:val="6D9775F7"/>
    <w:rsid w:val="6DA85161"/>
    <w:rsid w:val="6DAD677E"/>
    <w:rsid w:val="6DB20570"/>
    <w:rsid w:val="6DCB0A98"/>
    <w:rsid w:val="6DD10B89"/>
    <w:rsid w:val="6DE37466"/>
    <w:rsid w:val="6DE52587"/>
    <w:rsid w:val="6DE878C6"/>
    <w:rsid w:val="6DE94EEA"/>
    <w:rsid w:val="6DF72075"/>
    <w:rsid w:val="6DFD12A2"/>
    <w:rsid w:val="6DFD41FB"/>
    <w:rsid w:val="6DFF3239"/>
    <w:rsid w:val="6E100CEB"/>
    <w:rsid w:val="6E125795"/>
    <w:rsid w:val="6E1F61D8"/>
    <w:rsid w:val="6E2A125B"/>
    <w:rsid w:val="6E2B4F8F"/>
    <w:rsid w:val="6E3B515D"/>
    <w:rsid w:val="6E3F3AEF"/>
    <w:rsid w:val="6E4B354F"/>
    <w:rsid w:val="6E523420"/>
    <w:rsid w:val="6E7D0909"/>
    <w:rsid w:val="6E8869C4"/>
    <w:rsid w:val="6E910B04"/>
    <w:rsid w:val="6E9563D8"/>
    <w:rsid w:val="6EA97D1B"/>
    <w:rsid w:val="6EAF69A4"/>
    <w:rsid w:val="6EB314F8"/>
    <w:rsid w:val="6EB741AD"/>
    <w:rsid w:val="6ECE3537"/>
    <w:rsid w:val="6ED36085"/>
    <w:rsid w:val="6ED4109D"/>
    <w:rsid w:val="6EDC769D"/>
    <w:rsid w:val="6EEB3C07"/>
    <w:rsid w:val="6EEE3D6D"/>
    <w:rsid w:val="6EF82D1A"/>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926CA7"/>
    <w:rsid w:val="6F9F112C"/>
    <w:rsid w:val="6FA940EC"/>
    <w:rsid w:val="6FCE2DEA"/>
    <w:rsid w:val="6FD6290B"/>
    <w:rsid w:val="6FD831D4"/>
    <w:rsid w:val="6FEA775C"/>
    <w:rsid w:val="6FF70BC7"/>
    <w:rsid w:val="7006285C"/>
    <w:rsid w:val="700A3AB0"/>
    <w:rsid w:val="70114CEE"/>
    <w:rsid w:val="70157E72"/>
    <w:rsid w:val="7028260E"/>
    <w:rsid w:val="7032736C"/>
    <w:rsid w:val="703768AA"/>
    <w:rsid w:val="70490CF9"/>
    <w:rsid w:val="70561FCE"/>
    <w:rsid w:val="705B10A9"/>
    <w:rsid w:val="70631236"/>
    <w:rsid w:val="707946A1"/>
    <w:rsid w:val="707B4FA3"/>
    <w:rsid w:val="707F5D3A"/>
    <w:rsid w:val="708D3473"/>
    <w:rsid w:val="70920AC0"/>
    <w:rsid w:val="709E041A"/>
    <w:rsid w:val="70AB3BE8"/>
    <w:rsid w:val="70B424D9"/>
    <w:rsid w:val="70B7787F"/>
    <w:rsid w:val="70C054C9"/>
    <w:rsid w:val="70C45E02"/>
    <w:rsid w:val="70C637F6"/>
    <w:rsid w:val="70DF009F"/>
    <w:rsid w:val="70E26DA8"/>
    <w:rsid w:val="70E27E40"/>
    <w:rsid w:val="70F14ED4"/>
    <w:rsid w:val="70F42F66"/>
    <w:rsid w:val="70F95D8E"/>
    <w:rsid w:val="70FC55BC"/>
    <w:rsid w:val="71167EA5"/>
    <w:rsid w:val="712D71DE"/>
    <w:rsid w:val="71376636"/>
    <w:rsid w:val="713A21D2"/>
    <w:rsid w:val="713C24F9"/>
    <w:rsid w:val="71452815"/>
    <w:rsid w:val="714E05B4"/>
    <w:rsid w:val="714F48E2"/>
    <w:rsid w:val="716C3B66"/>
    <w:rsid w:val="71737A68"/>
    <w:rsid w:val="71784236"/>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20462EA"/>
    <w:rsid w:val="72054CD6"/>
    <w:rsid w:val="72073300"/>
    <w:rsid w:val="720C1E5D"/>
    <w:rsid w:val="72173E74"/>
    <w:rsid w:val="721B321D"/>
    <w:rsid w:val="723176DF"/>
    <w:rsid w:val="723404F1"/>
    <w:rsid w:val="723D5802"/>
    <w:rsid w:val="723D65C1"/>
    <w:rsid w:val="723F3136"/>
    <w:rsid w:val="724724EA"/>
    <w:rsid w:val="724C79E6"/>
    <w:rsid w:val="7254291F"/>
    <w:rsid w:val="72725752"/>
    <w:rsid w:val="72784961"/>
    <w:rsid w:val="7279741E"/>
    <w:rsid w:val="728052AC"/>
    <w:rsid w:val="72823EA4"/>
    <w:rsid w:val="728E089F"/>
    <w:rsid w:val="72921205"/>
    <w:rsid w:val="72957AF8"/>
    <w:rsid w:val="7296744E"/>
    <w:rsid w:val="729D6597"/>
    <w:rsid w:val="72A41B18"/>
    <w:rsid w:val="72B0033A"/>
    <w:rsid w:val="72BC6E4B"/>
    <w:rsid w:val="72CF4153"/>
    <w:rsid w:val="72DA63FB"/>
    <w:rsid w:val="72DE190E"/>
    <w:rsid w:val="72F662C5"/>
    <w:rsid w:val="72FA6A48"/>
    <w:rsid w:val="73010267"/>
    <w:rsid w:val="730C6E40"/>
    <w:rsid w:val="73126465"/>
    <w:rsid w:val="73285771"/>
    <w:rsid w:val="732D48E8"/>
    <w:rsid w:val="73372296"/>
    <w:rsid w:val="73385580"/>
    <w:rsid w:val="73394997"/>
    <w:rsid w:val="7340551D"/>
    <w:rsid w:val="73471D2C"/>
    <w:rsid w:val="736217E0"/>
    <w:rsid w:val="73651863"/>
    <w:rsid w:val="736C1624"/>
    <w:rsid w:val="73727874"/>
    <w:rsid w:val="738767C7"/>
    <w:rsid w:val="73936E23"/>
    <w:rsid w:val="73A31A69"/>
    <w:rsid w:val="73B0291B"/>
    <w:rsid w:val="73B157C0"/>
    <w:rsid w:val="73B5166E"/>
    <w:rsid w:val="73BA2F38"/>
    <w:rsid w:val="73CC36F1"/>
    <w:rsid w:val="73D01944"/>
    <w:rsid w:val="73D72CB9"/>
    <w:rsid w:val="73E6690B"/>
    <w:rsid w:val="73FC2D87"/>
    <w:rsid w:val="74106478"/>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756F1"/>
    <w:rsid w:val="748A420B"/>
    <w:rsid w:val="749B3E5E"/>
    <w:rsid w:val="749E2864"/>
    <w:rsid w:val="74A024E4"/>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715AA"/>
    <w:rsid w:val="74FF67B7"/>
    <w:rsid w:val="75030BE5"/>
    <w:rsid w:val="75056478"/>
    <w:rsid w:val="75076A10"/>
    <w:rsid w:val="750959E9"/>
    <w:rsid w:val="75107E10"/>
    <w:rsid w:val="751779AC"/>
    <w:rsid w:val="75396A31"/>
    <w:rsid w:val="753A5603"/>
    <w:rsid w:val="753B0061"/>
    <w:rsid w:val="75422778"/>
    <w:rsid w:val="7543074D"/>
    <w:rsid w:val="75456F20"/>
    <w:rsid w:val="754F221E"/>
    <w:rsid w:val="755216EA"/>
    <w:rsid w:val="75641328"/>
    <w:rsid w:val="756A54CF"/>
    <w:rsid w:val="756C7BAB"/>
    <w:rsid w:val="757260C0"/>
    <w:rsid w:val="75833D47"/>
    <w:rsid w:val="75907066"/>
    <w:rsid w:val="759404E4"/>
    <w:rsid w:val="75B70B40"/>
    <w:rsid w:val="75BB1335"/>
    <w:rsid w:val="75BB3F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276E68"/>
    <w:rsid w:val="76432C97"/>
    <w:rsid w:val="7644175C"/>
    <w:rsid w:val="76442ED1"/>
    <w:rsid w:val="76445D72"/>
    <w:rsid w:val="764B5DA3"/>
    <w:rsid w:val="764C063D"/>
    <w:rsid w:val="765F4A43"/>
    <w:rsid w:val="7664504A"/>
    <w:rsid w:val="767201E1"/>
    <w:rsid w:val="76765962"/>
    <w:rsid w:val="76896F81"/>
    <w:rsid w:val="768D1DA3"/>
    <w:rsid w:val="76991551"/>
    <w:rsid w:val="769A7B9D"/>
    <w:rsid w:val="769E4154"/>
    <w:rsid w:val="76A558A7"/>
    <w:rsid w:val="76AD534E"/>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0CEF"/>
    <w:rsid w:val="771515AF"/>
    <w:rsid w:val="77226D00"/>
    <w:rsid w:val="773C1782"/>
    <w:rsid w:val="773F7564"/>
    <w:rsid w:val="77450C74"/>
    <w:rsid w:val="77493F5F"/>
    <w:rsid w:val="775B3D28"/>
    <w:rsid w:val="77601B0A"/>
    <w:rsid w:val="77617528"/>
    <w:rsid w:val="777010A5"/>
    <w:rsid w:val="77746C19"/>
    <w:rsid w:val="77891A47"/>
    <w:rsid w:val="778979A9"/>
    <w:rsid w:val="778C58CD"/>
    <w:rsid w:val="778C5ADA"/>
    <w:rsid w:val="77960FDA"/>
    <w:rsid w:val="779B5E24"/>
    <w:rsid w:val="77A32E02"/>
    <w:rsid w:val="77A504F8"/>
    <w:rsid w:val="77A80847"/>
    <w:rsid w:val="77AC7C0B"/>
    <w:rsid w:val="77AD4B42"/>
    <w:rsid w:val="77B74370"/>
    <w:rsid w:val="77C50899"/>
    <w:rsid w:val="77D05D91"/>
    <w:rsid w:val="77DD4EB4"/>
    <w:rsid w:val="77E44404"/>
    <w:rsid w:val="77E55202"/>
    <w:rsid w:val="77EC1983"/>
    <w:rsid w:val="77EF2BD0"/>
    <w:rsid w:val="77F209D9"/>
    <w:rsid w:val="78071301"/>
    <w:rsid w:val="780A1783"/>
    <w:rsid w:val="780F66C3"/>
    <w:rsid w:val="782C3C62"/>
    <w:rsid w:val="782D3D3A"/>
    <w:rsid w:val="78373E22"/>
    <w:rsid w:val="783B44D8"/>
    <w:rsid w:val="783E232E"/>
    <w:rsid w:val="7848736F"/>
    <w:rsid w:val="784952E3"/>
    <w:rsid w:val="784F0FEB"/>
    <w:rsid w:val="78543EBF"/>
    <w:rsid w:val="787751A3"/>
    <w:rsid w:val="787D2FEB"/>
    <w:rsid w:val="787F223D"/>
    <w:rsid w:val="78814F84"/>
    <w:rsid w:val="78830A28"/>
    <w:rsid w:val="78831A92"/>
    <w:rsid w:val="788567F8"/>
    <w:rsid w:val="78880386"/>
    <w:rsid w:val="788E274D"/>
    <w:rsid w:val="789310C4"/>
    <w:rsid w:val="789620E4"/>
    <w:rsid w:val="78977B66"/>
    <w:rsid w:val="78A339EA"/>
    <w:rsid w:val="78A371FC"/>
    <w:rsid w:val="78A8517A"/>
    <w:rsid w:val="78AC315E"/>
    <w:rsid w:val="78AE1D0A"/>
    <w:rsid w:val="78B00A90"/>
    <w:rsid w:val="78BE57E7"/>
    <w:rsid w:val="78C27B32"/>
    <w:rsid w:val="78CC6408"/>
    <w:rsid w:val="78E4024E"/>
    <w:rsid w:val="78E73F87"/>
    <w:rsid w:val="78F57089"/>
    <w:rsid w:val="78FD4264"/>
    <w:rsid w:val="78FD5263"/>
    <w:rsid w:val="790A54A4"/>
    <w:rsid w:val="790B6C77"/>
    <w:rsid w:val="791A435B"/>
    <w:rsid w:val="79207221"/>
    <w:rsid w:val="792C5E5B"/>
    <w:rsid w:val="792E4C88"/>
    <w:rsid w:val="79335469"/>
    <w:rsid w:val="794158FF"/>
    <w:rsid w:val="7942661A"/>
    <w:rsid w:val="794600B0"/>
    <w:rsid w:val="795D0F8F"/>
    <w:rsid w:val="796E798B"/>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926C9"/>
    <w:rsid w:val="79FF1033"/>
    <w:rsid w:val="7A0770DC"/>
    <w:rsid w:val="7A1308C1"/>
    <w:rsid w:val="7A151E8D"/>
    <w:rsid w:val="7A1B3A8C"/>
    <w:rsid w:val="7A274DDA"/>
    <w:rsid w:val="7A332E20"/>
    <w:rsid w:val="7A3953DF"/>
    <w:rsid w:val="7A3F161D"/>
    <w:rsid w:val="7A413D8D"/>
    <w:rsid w:val="7A474029"/>
    <w:rsid w:val="7A477D62"/>
    <w:rsid w:val="7A506EB7"/>
    <w:rsid w:val="7A556932"/>
    <w:rsid w:val="7A632261"/>
    <w:rsid w:val="7A64770B"/>
    <w:rsid w:val="7A683A00"/>
    <w:rsid w:val="7A68455E"/>
    <w:rsid w:val="7A6A71D8"/>
    <w:rsid w:val="7A716C37"/>
    <w:rsid w:val="7A740AC1"/>
    <w:rsid w:val="7A8829A3"/>
    <w:rsid w:val="7A9A64BA"/>
    <w:rsid w:val="7AA43A7A"/>
    <w:rsid w:val="7AC657C3"/>
    <w:rsid w:val="7ACD21F2"/>
    <w:rsid w:val="7AD67F2E"/>
    <w:rsid w:val="7AEB5870"/>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5B066E"/>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111F3A"/>
    <w:rsid w:val="7C1E6362"/>
    <w:rsid w:val="7C1F671C"/>
    <w:rsid w:val="7C2241A2"/>
    <w:rsid w:val="7C245B39"/>
    <w:rsid w:val="7C246FA8"/>
    <w:rsid w:val="7C2F6948"/>
    <w:rsid w:val="7C3E3E6A"/>
    <w:rsid w:val="7C4B3FF9"/>
    <w:rsid w:val="7C540886"/>
    <w:rsid w:val="7C63309F"/>
    <w:rsid w:val="7C727D5E"/>
    <w:rsid w:val="7C76787C"/>
    <w:rsid w:val="7C8B5A89"/>
    <w:rsid w:val="7C8F55C4"/>
    <w:rsid w:val="7C9603F6"/>
    <w:rsid w:val="7CA95C84"/>
    <w:rsid w:val="7CBB2CF1"/>
    <w:rsid w:val="7CBD55FA"/>
    <w:rsid w:val="7CBE2D79"/>
    <w:rsid w:val="7CC97C1E"/>
    <w:rsid w:val="7CCF4482"/>
    <w:rsid w:val="7CD14842"/>
    <w:rsid w:val="7CEC5581"/>
    <w:rsid w:val="7CEF6506"/>
    <w:rsid w:val="7CF70E3D"/>
    <w:rsid w:val="7CFE4F30"/>
    <w:rsid w:val="7D047561"/>
    <w:rsid w:val="7D0F50F8"/>
    <w:rsid w:val="7D1855C6"/>
    <w:rsid w:val="7D1C1D82"/>
    <w:rsid w:val="7D1F7055"/>
    <w:rsid w:val="7D2334DD"/>
    <w:rsid w:val="7D23425F"/>
    <w:rsid w:val="7D235434"/>
    <w:rsid w:val="7D237C5A"/>
    <w:rsid w:val="7D275420"/>
    <w:rsid w:val="7D291B09"/>
    <w:rsid w:val="7D302C17"/>
    <w:rsid w:val="7D320274"/>
    <w:rsid w:val="7D3924E1"/>
    <w:rsid w:val="7D43677B"/>
    <w:rsid w:val="7D544888"/>
    <w:rsid w:val="7D653F46"/>
    <w:rsid w:val="7D68519D"/>
    <w:rsid w:val="7D6F7954"/>
    <w:rsid w:val="7D782E7E"/>
    <w:rsid w:val="7D861EFD"/>
    <w:rsid w:val="7D964828"/>
    <w:rsid w:val="7D96540C"/>
    <w:rsid w:val="7DA8106A"/>
    <w:rsid w:val="7DA83736"/>
    <w:rsid w:val="7DAC6BBA"/>
    <w:rsid w:val="7DD42D1F"/>
    <w:rsid w:val="7DD665F7"/>
    <w:rsid w:val="7DD70A02"/>
    <w:rsid w:val="7DD93F05"/>
    <w:rsid w:val="7DDE6569"/>
    <w:rsid w:val="7DE70879"/>
    <w:rsid w:val="7DEE548C"/>
    <w:rsid w:val="7DF03ECC"/>
    <w:rsid w:val="7DF7725F"/>
    <w:rsid w:val="7E0F58A2"/>
    <w:rsid w:val="7E193E1D"/>
    <w:rsid w:val="7E234B61"/>
    <w:rsid w:val="7E316E6D"/>
    <w:rsid w:val="7E5356E3"/>
    <w:rsid w:val="7E537896"/>
    <w:rsid w:val="7E5428B6"/>
    <w:rsid w:val="7E572BA0"/>
    <w:rsid w:val="7E6913DD"/>
    <w:rsid w:val="7E703424"/>
    <w:rsid w:val="7E74535B"/>
    <w:rsid w:val="7E753B11"/>
    <w:rsid w:val="7E935BDC"/>
    <w:rsid w:val="7E996534"/>
    <w:rsid w:val="7EAA67DC"/>
    <w:rsid w:val="7EAF2C64"/>
    <w:rsid w:val="7EB8247A"/>
    <w:rsid w:val="7ECD228C"/>
    <w:rsid w:val="7ED122C0"/>
    <w:rsid w:val="7EF40E5F"/>
    <w:rsid w:val="7EF572BF"/>
    <w:rsid w:val="7F153307"/>
    <w:rsid w:val="7F166206"/>
    <w:rsid w:val="7F17138E"/>
    <w:rsid w:val="7F1A5B96"/>
    <w:rsid w:val="7F1B77FA"/>
    <w:rsid w:val="7F1D3E66"/>
    <w:rsid w:val="7F3F55B9"/>
    <w:rsid w:val="7F44396E"/>
    <w:rsid w:val="7F4F4612"/>
    <w:rsid w:val="7F577C9A"/>
    <w:rsid w:val="7F587BFA"/>
    <w:rsid w:val="7F601DD3"/>
    <w:rsid w:val="7F6A4D14"/>
    <w:rsid w:val="7F6D7B9F"/>
    <w:rsid w:val="7F812FBC"/>
    <w:rsid w:val="7F9A69D0"/>
    <w:rsid w:val="7FAB1C02"/>
    <w:rsid w:val="7FC172D0"/>
    <w:rsid w:val="7FD62E96"/>
    <w:rsid w:val="7FD73242"/>
    <w:rsid w:val="7FD77DD9"/>
    <w:rsid w:val="7FD82DA2"/>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paragraph" w:customStyle="1" w:styleId="194">
    <w:name w:val="boldbullet1"/>
    <w:basedOn w:val="195"/>
    <w:qFormat/>
    <w:uiPriority w:val="0"/>
    <w:pPr>
      <w:numPr>
        <w:ilvl w:val="0"/>
        <w:numId w:val="0"/>
      </w:numPr>
      <w:spacing w:after="120"/>
      <w:jc w:val="both"/>
    </w:pPr>
    <w:rPr>
      <w:rFonts w:ascii="Times New Roman" w:hAnsi="Times New Roman"/>
      <w:b/>
      <w:kern w:val="0"/>
      <w:sz w:val="20"/>
      <w:lang w:val="en-US"/>
    </w:rPr>
  </w:style>
  <w:style w:type="paragraph" w:customStyle="1" w:styleId="195">
    <w:name w:val="bullet1"/>
    <w:basedOn w:val="196"/>
    <w:qFormat/>
    <w:uiPriority w:val="0"/>
    <w:pPr>
      <w:widowControl/>
      <w:numPr>
        <w:ilvl w:val="0"/>
        <w:numId w:val="3"/>
      </w:numPr>
      <w:spacing w:after="0"/>
    </w:pPr>
    <w:rPr>
      <w:szCs w:val="24"/>
      <w:lang w:val="en-GB"/>
    </w:rPr>
  </w:style>
  <w:style w:type="paragraph" w:customStyle="1" w:styleId="196">
    <w:name w:val="text"/>
    <w:basedOn w:val="1"/>
    <w:qFormat/>
    <w:uiPriority w:val="0"/>
    <w:pPr>
      <w:widowControl w:val="0"/>
      <w:spacing w:after="240"/>
    </w:pPr>
    <w:rPr>
      <w:rFonts w:ascii="Calibri" w:hAnsi="Calibri" w:eastAsia="宋体"/>
      <w:kern w:val="2"/>
      <w:szCs w:val="20"/>
    </w:rPr>
  </w:style>
  <w:style w:type="paragraph" w:customStyle="1" w:styleId="197">
    <w:name w:val="Überschrift 3.h3.H3.Underrubrik2"/>
    <w:basedOn w:val="3"/>
    <w:next w:val="1"/>
    <w:qFormat/>
    <w:uiPriority w:val="0"/>
    <w:pPr>
      <w:spacing w:before="120"/>
      <w:outlineLvl w:val="2"/>
    </w:pPr>
    <w:rPr>
      <w:lang w:eastAsia="de-D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92DB631F-C72F-4BEE-9F4A-B8E6D867A0AA}">
  <ds:schemaRefs/>
</ds:datastoreItem>
</file>

<file path=customXml/itemProps3.xml><?xml version="1.0" encoding="utf-8"?>
<ds:datastoreItem xmlns:ds="http://schemas.openxmlformats.org/officeDocument/2006/customXml" ds:itemID="{049EE707-AE93-489E-829E-CF24FFA1CFF8}">
  <ds:schemaRefs/>
</ds:datastoreItem>
</file>

<file path=customXml/itemProps4.xml><?xml version="1.0" encoding="utf-8"?>
<ds:datastoreItem xmlns:ds="http://schemas.openxmlformats.org/officeDocument/2006/customXml" ds:itemID="{C03BEC09-001F-44E0-B7F0-0DF5DC39864C}">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706546D0-0F3F-4324-8A71-4CE3BD79AB4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1167</Words>
  <Characters>6658</Characters>
  <Lines>55</Lines>
  <Paragraphs>15</Paragraphs>
  <TotalTime>1</TotalTime>
  <ScaleCrop>false</ScaleCrop>
  <LinksUpToDate>false</LinksUpToDate>
  <CharactersWithSpaces>7810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2023-10-10T01:32:00Z</dcterms:created>
  <dc:creator>ZTE</dc:creator>
  <cp:lastModifiedBy>蒋创新</cp:lastModifiedBy>
  <dcterms:modified xsi:type="dcterms:W3CDTF">2023-10-10T14:20:02Z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ies>
</file>